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19" w:rsidRPr="00541B19" w:rsidRDefault="00541B19" w:rsidP="0054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541B19">
        <w:rPr>
          <w:rFonts w:ascii="Times New Roman" w:hAnsi="Times New Roman" w:cs="Times New Roman"/>
          <w:b/>
          <w:sz w:val="28"/>
          <w:szCs w:val="28"/>
        </w:rPr>
        <w:t>Қазқұрылысжүйесі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541B19">
        <w:rPr>
          <w:rFonts w:ascii="Times New Roman" w:hAnsi="Times New Roman" w:cs="Times New Roman"/>
          <w:b/>
          <w:sz w:val="28"/>
          <w:szCs w:val="28"/>
        </w:rPr>
        <w:t xml:space="preserve"> ЖШС</w:t>
      </w:r>
    </w:p>
    <w:p w:rsidR="00541B19" w:rsidRPr="00541B19" w:rsidRDefault="00541B19" w:rsidP="0054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B19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541B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B19">
        <w:rPr>
          <w:rFonts w:ascii="Times New Roman" w:hAnsi="Times New Roman" w:cs="Times New Roman"/>
          <w:b/>
          <w:sz w:val="28"/>
          <w:szCs w:val="28"/>
        </w:rPr>
        <w:t>жемқорлық</w:t>
      </w:r>
      <w:proofErr w:type="spellEnd"/>
      <w:r w:rsidRPr="00541B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B19">
        <w:rPr>
          <w:rFonts w:ascii="Times New Roman" w:hAnsi="Times New Roman" w:cs="Times New Roman"/>
          <w:b/>
          <w:sz w:val="28"/>
          <w:szCs w:val="28"/>
        </w:rPr>
        <w:t>тәуекелдеріне</w:t>
      </w:r>
      <w:proofErr w:type="spellEnd"/>
      <w:r w:rsidRPr="00541B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B19">
        <w:rPr>
          <w:rFonts w:ascii="Times New Roman" w:hAnsi="Times New Roman" w:cs="Times New Roman"/>
          <w:b/>
          <w:sz w:val="28"/>
          <w:szCs w:val="28"/>
        </w:rPr>
        <w:t>ішкі</w:t>
      </w:r>
      <w:proofErr w:type="spellEnd"/>
      <w:r w:rsidRPr="00541B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B19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 w:rsidRPr="00541B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B19">
        <w:rPr>
          <w:rFonts w:ascii="Times New Roman" w:hAnsi="Times New Roman" w:cs="Times New Roman"/>
          <w:b/>
          <w:sz w:val="28"/>
          <w:szCs w:val="28"/>
        </w:rPr>
        <w:t>жүргізу</w:t>
      </w:r>
      <w:proofErr w:type="spellEnd"/>
      <w:r w:rsidRPr="00541B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B19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541B19" w:rsidRDefault="00541B19" w:rsidP="0054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541B19">
        <w:rPr>
          <w:rFonts w:ascii="Times New Roman" w:hAnsi="Times New Roman" w:cs="Times New Roman"/>
          <w:b/>
          <w:sz w:val="28"/>
          <w:szCs w:val="28"/>
        </w:rPr>
        <w:t>алдамалық</w:t>
      </w:r>
      <w:proofErr w:type="spellEnd"/>
      <w:r w:rsidRPr="00541B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B19">
        <w:rPr>
          <w:rFonts w:ascii="Times New Roman" w:hAnsi="Times New Roman" w:cs="Times New Roman"/>
          <w:b/>
          <w:sz w:val="28"/>
          <w:szCs w:val="28"/>
        </w:rPr>
        <w:t>анықтама</w:t>
      </w:r>
      <w:proofErr w:type="spellEnd"/>
    </w:p>
    <w:p w:rsidR="00541B19" w:rsidRDefault="00541B19" w:rsidP="0054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9" w:rsidRDefault="00541B19" w:rsidP="0054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B19">
        <w:rPr>
          <w:rFonts w:ascii="Times New Roman" w:hAnsi="Times New Roman" w:cs="Times New Roman"/>
          <w:sz w:val="28"/>
          <w:szCs w:val="28"/>
          <w:lang w:val="kk-KZ"/>
        </w:rPr>
        <w:t>Астана қаласы</w:t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>2024 жылғы 22</w:t>
      </w:r>
      <w:r w:rsidR="00432435">
        <w:rPr>
          <w:rFonts w:ascii="Times New Roman" w:hAnsi="Times New Roman" w:cs="Times New Roman"/>
          <w:sz w:val="28"/>
          <w:szCs w:val="28"/>
          <w:lang w:val="kk-KZ"/>
        </w:rPr>
        <w:t xml:space="preserve"> қараша</w:t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1B19" w:rsidRDefault="00541B19" w:rsidP="0054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1B19" w:rsidRPr="00541B19" w:rsidRDefault="00541B19" w:rsidP="0054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</w:t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>Қазқұрылысжүйе</w:t>
      </w:r>
      <w:r>
        <w:rPr>
          <w:rFonts w:ascii="Times New Roman" w:hAnsi="Times New Roman" w:cs="Times New Roman"/>
          <w:sz w:val="28"/>
          <w:szCs w:val="28"/>
          <w:lang w:val="kk-KZ"/>
        </w:rPr>
        <w:t>сі» ЖШС-де (бұдан әрі - С</w:t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 xml:space="preserve">еріктестік) </w:t>
      </w:r>
      <w:r>
        <w:rPr>
          <w:rFonts w:ascii="Times New Roman" w:hAnsi="Times New Roman" w:cs="Times New Roman"/>
          <w:sz w:val="28"/>
          <w:szCs w:val="28"/>
          <w:lang w:val="kk-KZ"/>
        </w:rPr>
        <w:t>2023-2024 жылдар кезеңіне</w:t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тәуекелдеріне ішкі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(будын әрі - СЖТІТ)</w:t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>еріктестіктің бас директорының 2024 жылғы 1 қарашадағы № 04-03/145 бұйрығы негізінде жүргізілді.</w:t>
      </w:r>
    </w:p>
    <w:p w:rsidR="00541B19" w:rsidRDefault="00541B19" w:rsidP="00541B19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>СЖТІТ-ды</w:t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B1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заңгер</w:t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B1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(комплаенс</w:t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B1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офицер)</w:t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B1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</w:t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41B1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Ахметжанов</w:t>
      </w:r>
      <w:r w:rsidRPr="00541B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B1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жүргізді.</w:t>
      </w:r>
    </w:p>
    <w:p w:rsidR="00541B19" w:rsidRDefault="00541B19" w:rsidP="00541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B19">
        <w:rPr>
          <w:rFonts w:ascii="Times New Roman" w:hAnsi="Times New Roman" w:cs="Times New Roman"/>
          <w:sz w:val="28"/>
          <w:szCs w:val="28"/>
          <w:lang w:val="kk-KZ"/>
        </w:rPr>
        <w:t>Талдау қорытындысы бойынша 3 Сыбайлас жемқорлық тәуекелі анықталды.</w:t>
      </w:r>
    </w:p>
    <w:p w:rsidR="00541B19" w:rsidRDefault="00541B19" w:rsidP="00541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1B19" w:rsidRPr="00541B19" w:rsidRDefault="00541B19" w:rsidP="006F4F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</w:pPr>
      <w:proofErr w:type="spellStart"/>
      <w:r w:rsidRPr="00541B19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</w:rPr>
        <w:t>Қызметкерлерді</w:t>
      </w:r>
      <w:proofErr w:type="spellEnd"/>
      <w:r w:rsidRPr="00541B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41B19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</w:rPr>
        <w:t>қамтамасыз</w:t>
      </w:r>
      <w:proofErr w:type="spellEnd"/>
      <w:r w:rsidRPr="00541B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41B19">
        <w:rPr>
          <w:rFonts w:ascii="Times New Roman" w:hAnsi="Times New Roman" w:cs="Times New Roman"/>
          <w:b/>
          <w:sz w:val="28"/>
          <w:szCs w:val="28"/>
          <w:u w:val="single"/>
        </w:rPr>
        <w:t>ету</w:t>
      </w:r>
      <w:proofErr w:type="spellEnd"/>
    </w:p>
    <w:p w:rsidR="00541B19" w:rsidRPr="00541B19" w:rsidRDefault="00541B19" w:rsidP="00541B1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41B19" w:rsidRPr="00F36FCD" w:rsidRDefault="00541B19" w:rsidP="00541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9552C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1.1. </w:t>
      </w:r>
      <w:proofErr w:type="spellStart"/>
      <w:r w:rsidR="004C112D"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Сыбайлас</w:t>
      </w:r>
      <w:proofErr w:type="spellEnd"/>
      <w:r w:rsidR="004C112D"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="004C112D"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жемқорлық</w:t>
      </w:r>
      <w:proofErr w:type="spellEnd"/>
      <w:r w:rsidR="004C112D"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="004C112D"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тәуекелінің</w:t>
      </w:r>
      <w:proofErr w:type="spellEnd"/>
      <w:r w:rsidR="004C112D"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="004C112D"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атауы</w:t>
      </w:r>
      <w:proofErr w:type="spellEnd"/>
    </w:p>
    <w:p w:rsidR="00541B19" w:rsidRDefault="004C112D" w:rsidP="0054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Серіктестік</w:t>
      </w:r>
      <w:proofErr w:type="spellEnd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қызметкерлерін</w:t>
      </w:r>
      <w:proofErr w:type="spellEnd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кеңсе</w:t>
      </w:r>
      <w:proofErr w:type="spellEnd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керек-жарақтарымен</w:t>
      </w:r>
      <w:proofErr w:type="spellEnd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және</w:t>
      </w:r>
      <w:proofErr w:type="spellEnd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басқа</w:t>
      </w:r>
      <w:proofErr w:type="spellEnd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да </w:t>
      </w:r>
      <w:proofErr w:type="spellStart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шығыс</w:t>
      </w:r>
      <w:proofErr w:type="spellEnd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материалдарымен</w:t>
      </w:r>
      <w:proofErr w:type="spellEnd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қамтамасыз</w:t>
      </w:r>
      <w:proofErr w:type="spellEnd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етудің</w:t>
      </w:r>
      <w:proofErr w:type="spellEnd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заттай</w:t>
      </w:r>
      <w:proofErr w:type="spellEnd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нормаларының</w:t>
      </w:r>
      <w:proofErr w:type="spellEnd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болмауы</w:t>
      </w:r>
      <w:proofErr w:type="spellEnd"/>
      <w:r w:rsidRPr="004C112D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C112D" w:rsidRPr="00F36FCD" w:rsidRDefault="004C112D" w:rsidP="0054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C112D" w:rsidRDefault="004C112D" w:rsidP="004C1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proofErr w:type="spellStart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Сыбайлас</w:t>
      </w:r>
      <w:proofErr w:type="spellEnd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жемқорлық</w:t>
      </w:r>
      <w:proofErr w:type="spellEnd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тәуекелінің</w:t>
      </w:r>
      <w:proofErr w:type="spellEnd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сипаттамасы</w:t>
      </w:r>
      <w:proofErr w:type="spellEnd"/>
    </w:p>
    <w:p w:rsidR="00541B19" w:rsidRPr="005C67CE" w:rsidRDefault="004C112D" w:rsidP="005C67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Эконом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исттің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қызметін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еріктестікте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қызметкерлерін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кеңсе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керек-жарақтарымен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басқа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да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шығыс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материалдарымен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қамтамасыз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етудің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заттай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нормаларының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жоқтығы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анықталды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Бұл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бұзушылық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әр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қызметкерге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шығындар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анықтауға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мүмкіндік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бермейді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5C67C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</w:t>
      </w:r>
      <w:r w:rsidRPr="005C67C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ұл</w:t>
      </w:r>
      <w:r w:rsidR="005C67C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</w:t>
      </w:r>
      <w:r w:rsidRPr="005C67C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өз кезегінде</w:t>
      </w:r>
      <w:r w:rsidR="005C67C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шығындарды жоспарлауға, м</w:t>
      </w:r>
      <w:r w:rsidRPr="005C67C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емлекеттік сатып алу жоспары</w:t>
      </w:r>
      <w:r w:rsidR="005C67C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н құруға және С</w:t>
      </w:r>
      <w:r w:rsidRPr="005C67C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еріктестіктің даму жоспарын сенімді түрде орындауға мүмкіндік бермейді.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Сондай-ақ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мұндай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шығыстар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нормаларының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болмауы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сыбайлас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жемқорлық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тәуекелі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болып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табылатын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тауарлық-материалдық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құндылықтарды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негізсіз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есептен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шығаруға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шамадан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тыс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жұмсауға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мүмкіндік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береді</w:t>
      </w:r>
      <w:proofErr w:type="spellEnd"/>
      <w:r w:rsidRPr="004C11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541B19" w:rsidRPr="00F36FCD" w:rsidRDefault="00541B19" w:rsidP="0054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</w:p>
    <w:p w:rsidR="005C67CE" w:rsidRDefault="005C67CE" w:rsidP="005C6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Тәуекелді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жою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бойынша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ұсыныс</w:t>
      </w:r>
      <w:proofErr w:type="spellEnd"/>
    </w:p>
    <w:p w:rsidR="00541B19" w:rsidRDefault="001C1E48" w:rsidP="0054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2025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жылдың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бірінші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тоқсанынд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әрбір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қызметкерге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сондай-ақ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еріктестіктің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құрылымдық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бөлімшелері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оның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ішінде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қызметкерлерді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арнайы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киіммен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жеке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қорғаныс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құралдарымен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қамтамасыз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ету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бөлінісінде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шығыстардың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қажетті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нормаларын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талдау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талдау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қорытындылары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серіктестік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қызметкерлерін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кеңсе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керек-жарақтарымен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басқа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да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шығыс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материалдарымен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қамтамасыз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етудің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заттай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нормаларын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әзірлеу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бекіту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).</w:t>
      </w:r>
    </w:p>
    <w:p w:rsidR="001C1E48" w:rsidRDefault="001C1E48" w:rsidP="0054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41B19" w:rsidRPr="001C1E48" w:rsidRDefault="001C1E48" w:rsidP="0056268E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ezkurwreuab5ozgtqnkl"/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</w:pPr>
      <w:proofErr w:type="spellStart"/>
      <w:r w:rsidRPr="001C1E48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</w:rPr>
        <w:t>Пайдалану</w:t>
      </w:r>
      <w:proofErr w:type="spellEnd"/>
      <w:r w:rsidRPr="001C1E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C1E48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</w:rPr>
        <w:t>шығындары</w:t>
      </w:r>
      <w:proofErr w:type="spellEnd"/>
    </w:p>
    <w:p w:rsidR="001C1E48" w:rsidRPr="001C1E48" w:rsidRDefault="001C1E48" w:rsidP="001C1E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41B19" w:rsidRPr="00F36FCD" w:rsidRDefault="00541B19" w:rsidP="00541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Pr="009552C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.1. </w:t>
      </w:r>
      <w:proofErr w:type="spellStart"/>
      <w:r w:rsidR="001C1E48" w:rsidRPr="001C1E48">
        <w:rPr>
          <w:rStyle w:val="ezkurwreuab5ozgtqnkl"/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="001C1E48" w:rsidRPr="001C1E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1E48" w:rsidRPr="001C1E48">
        <w:rPr>
          <w:rStyle w:val="ezkurwreuab5ozgtqnkl"/>
          <w:rFonts w:ascii="Times New Roman" w:hAnsi="Times New Roman" w:cs="Times New Roman"/>
          <w:b/>
          <w:sz w:val="28"/>
          <w:szCs w:val="28"/>
        </w:rPr>
        <w:t>жемқорлық</w:t>
      </w:r>
      <w:proofErr w:type="spellEnd"/>
      <w:r w:rsidR="001C1E48" w:rsidRPr="001C1E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1E48" w:rsidRPr="001C1E48">
        <w:rPr>
          <w:rStyle w:val="ezkurwreuab5ozgtqnkl"/>
          <w:rFonts w:ascii="Times New Roman" w:hAnsi="Times New Roman" w:cs="Times New Roman"/>
          <w:b/>
          <w:sz w:val="28"/>
          <w:szCs w:val="28"/>
        </w:rPr>
        <w:t>тәуекелінің</w:t>
      </w:r>
      <w:proofErr w:type="spellEnd"/>
      <w:r w:rsidR="001C1E48" w:rsidRPr="001C1E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1E48" w:rsidRPr="001C1E48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</w:p>
    <w:p w:rsidR="00541B19" w:rsidRDefault="001C1E48" w:rsidP="0054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lastRenderedPageBreak/>
        <w:t>Сынақ</w:t>
      </w:r>
      <w:proofErr w:type="spellEnd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зертханасын</w:t>
      </w:r>
      <w:proofErr w:type="spellEnd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ұстауға</w:t>
      </w:r>
      <w:proofErr w:type="spellEnd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арналған</w:t>
      </w:r>
      <w:proofErr w:type="spellEnd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пайдалану</w:t>
      </w:r>
      <w:proofErr w:type="spellEnd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шығыстары</w:t>
      </w:r>
      <w:proofErr w:type="spellEnd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бойынша</w:t>
      </w:r>
      <w:proofErr w:type="spellEnd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заттай</w:t>
      </w:r>
      <w:proofErr w:type="spellEnd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нормалардың</w:t>
      </w:r>
      <w:proofErr w:type="spellEnd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болмауы</w:t>
      </w:r>
      <w:proofErr w:type="spellEnd"/>
      <w:r w:rsidRPr="001C1E48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C1E48" w:rsidRPr="00F36FCD" w:rsidRDefault="001C1E48" w:rsidP="0054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C67CE" w:rsidRDefault="005C67CE" w:rsidP="005C6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proofErr w:type="spellStart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Сыбайлас</w:t>
      </w:r>
      <w:proofErr w:type="spellEnd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жемқорлық</w:t>
      </w:r>
      <w:proofErr w:type="spellEnd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тәуекелінің</w:t>
      </w:r>
      <w:proofErr w:type="spellEnd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сипаттамасы</w:t>
      </w:r>
      <w:proofErr w:type="spellEnd"/>
    </w:p>
    <w:p w:rsidR="00541B19" w:rsidRDefault="001C1E48" w:rsidP="0054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Экономисттің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қызметін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</w:t>
      </w:r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талдау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жүргізу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еріктестікте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сынақ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зертханасын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ұстауға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арналған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пайдалану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шығындары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заттай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нормалардың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жоқтығы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анықталды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Бұл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бұзушылық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сынақ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зертханасын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ұстауға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арналған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жылдық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пайдалану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шығындарын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анықтауға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мүмкіндік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бермейді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жуғыш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заттар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тазалағыш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заттар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шүберек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хлор,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дезинсекция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дератизация,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әретхана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қағазы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душ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сүлгілері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тазартқыштар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т.б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ұл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</w:t>
      </w:r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өз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кезегінде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шығындарды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жоспарлауға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емлекетті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алуды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жоспарлауға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еріктестіктің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даму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жоспарын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сенімді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түрде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орындауға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мүмкіндік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бермейді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Сондай-ақ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мұндай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шығыстар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нормаларының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болмауы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сыбайлас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жемқорлық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тәуекелі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болып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табылатын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тауарлық-материалдық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құндылықтарды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негізсіз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есептен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шығаруға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шамадан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тыс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жұмсауға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мүмкіндік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береді</w:t>
      </w:r>
      <w:proofErr w:type="spellEnd"/>
      <w:r w:rsidRPr="001C1E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r w:rsidR="00541B19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</w:p>
    <w:p w:rsidR="001C1E48" w:rsidRPr="00F36FCD" w:rsidRDefault="001C1E48" w:rsidP="0054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</w:p>
    <w:p w:rsidR="00542195" w:rsidRPr="005C67CE" w:rsidRDefault="005C67CE" w:rsidP="005C6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Тәуекелді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жою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бойынша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ұсыныс</w:t>
      </w:r>
      <w:proofErr w:type="spellEnd"/>
    </w:p>
    <w:p w:rsidR="00541B19" w:rsidRDefault="00542195" w:rsidP="005421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2025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жылдың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бірінші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тоқсанында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сынақ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зертханасын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ұстауға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арналған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пайдалану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шығыстары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қажетті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нормаларды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талдау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талдау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қорытындылары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сынақ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зертханасын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ұстауға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арналған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пайдалану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шығыстары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заттай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нормаларды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әзірлеу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proofErr w:type="spellStart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бекіту</w:t>
      </w:r>
      <w:proofErr w:type="spellEnd"/>
      <w:r w:rsidRPr="005421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).</w:t>
      </w:r>
    </w:p>
    <w:p w:rsidR="00542195" w:rsidRDefault="00542195" w:rsidP="0054219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</w:p>
    <w:p w:rsidR="00541B19" w:rsidRPr="001C1E48" w:rsidRDefault="001C1E48" w:rsidP="00541B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</w:pPr>
      <w:r w:rsidRPr="001C1E4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С</w:t>
      </w:r>
      <w:proofErr w:type="spellStart"/>
      <w:r w:rsidRPr="001C1E48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</w:rPr>
        <w:t>ынақ</w:t>
      </w:r>
      <w:proofErr w:type="spellEnd"/>
      <w:r w:rsidRPr="001C1E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C1E48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</w:rPr>
        <w:t>зертханасының</w:t>
      </w:r>
      <w:proofErr w:type="spellEnd"/>
      <w:r w:rsidRPr="001C1E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C1E48">
        <w:rPr>
          <w:rStyle w:val="ezkurwreuab5ozgtqnkl"/>
          <w:rFonts w:ascii="Times New Roman" w:hAnsi="Times New Roman" w:cs="Times New Roman"/>
          <w:b/>
          <w:sz w:val="28"/>
          <w:szCs w:val="28"/>
          <w:u w:val="single"/>
        </w:rPr>
        <w:t>қызметтері</w:t>
      </w:r>
      <w:proofErr w:type="spellEnd"/>
      <w:r w:rsidR="00541B19" w:rsidRPr="001C1E4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</w:p>
    <w:p w:rsidR="00541B19" w:rsidRPr="00574459" w:rsidRDefault="00541B19" w:rsidP="00541B1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41B19" w:rsidRPr="00F36FCD" w:rsidRDefault="00541B19" w:rsidP="00541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C1E4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Pr="0057445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.1. </w:t>
      </w:r>
      <w:proofErr w:type="spellStart"/>
      <w:r w:rsidR="001C1E48" w:rsidRPr="001C1E48">
        <w:rPr>
          <w:rStyle w:val="ezkurwreuab5ozgtqnkl"/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="001C1E48" w:rsidRPr="001C1E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1E48" w:rsidRPr="001C1E48">
        <w:rPr>
          <w:rStyle w:val="ezkurwreuab5ozgtqnkl"/>
          <w:rFonts w:ascii="Times New Roman" w:hAnsi="Times New Roman" w:cs="Times New Roman"/>
          <w:b/>
          <w:sz w:val="28"/>
          <w:szCs w:val="28"/>
        </w:rPr>
        <w:t>жемқорлық</w:t>
      </w:r>
      <w:proofErr w:type="spellEnd"/>
      <w:r w:rsidR="001C1E48" w:rsidRPr="001C1E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1E48" w:rsidRPr="001C1E48">
        <w:rPr>
          <w:rStyle w:val="ezkurwreuab5ozgtqnkl"/>
          <w:rFonts w:ascii="Times New Roman" w:hAnsi="Times New Roman" w:cs="Times New Roman"/>
          <w:b/>
          <w:sz w:val="28"/>
          <w:szCs w:val="28"/>
        </w:rPr>
        <w:t>тәуекелінің</w:t>
      </w:r>
      <w:proofErr w:type="spellEnd"/>
      <w:r w:rsidR="001C1E48" w:rsidRPr="001C1E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1E48" w:rsidRPr="001C1E48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</w:p>
    <w:p w:rsidR="00541B19" w:rsidRDefault="00432435" w:rsidP="00541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435">
        <w:rPr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432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435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Pr="00432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435">
        <w:rPr>
          <w:rFonts w:ascii="Times New Roman" w:hAnsi="Times New Roman" w:cs="Times New Roman"/>
          <w:sz w:val="28"/>
          <w:szCs w:val="28"/>
        </w:rPr>
        <w:t>бұйымдары</w:t>
      </w:r>
      <w:proofErr w:type="spellEnd"/>
      <w:r w:rsidRPr="004324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32435">
        <w:rPr>
          <w:rFonts w:ascii="Times New Roman" w:hAnsi="Times New Roman" w:cs="Times New Roman"/>
          <w:sz w:val="28"/>
          <w:szCs w:val="28"/>
        </w:rPr>
        <w:t>конструкцияларын</w:t>
      </w:r>
      <w:proofErr w:type="spellEnd"/>
      <w:r w:rsidRPr="00432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435">
        <w:rPr>
          <w:rFonts w:ascii="Times New Roman" w:hAnsi="Times New Roman" w:cs="Times New Roman"/>
          <w:sz w:val="28"/>
          <w:szCs w:val="28"/>
        </w:rPr>
        <w:t>сынау</w:t>
      </w:r>
      <w:proofErr w:type="spellEnd"/>
      <w:r w:rsidRPr="00432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43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32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435">
        <w:rPr>
          <w:rFonts w:ascii="Times New Roman" w:hAnsi="Times New Roman" w:cs="Times New Roman"/>
          <w:sz w:val="28"/>
          <w:szCs w:val="28"/>
        </w:rPr>
        <w:t>аспаптар</w:t>
      </w:r>
      <w:proofErr w:type="spellEnd"/>
      <w:r w:rsidRPr="004324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32435">
        <w:rPr>
          <w:rFonts w:ascii="Times New Roman" w:hAnsi="Times New Roman" w:cs="Times New Roman"/>
          <w:sz w:val="28"/>
          <w:szCs w:val="28"/>
        </w:rPr>
        <w:t>жабдықтарды</w:t>
      </w:r>
      <w:proofErr w:type="spellEnd"/>
      <w:r w:rsidRPr="00432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435">
        <w:rPr>
          <w:rFonts w:ascii="Times New Roman" w:hAnsi="Times New Roman" w:cs="Times New Roman"/>
          <w:sz w:val="28"/>
          <w:szCs w:val="28"/>
        </w:rPr>
        <w:t>тұтынудың</w:t>
      </w:r>
      <w:proofErr w:type="spellEnd"/>
      <w:r w:rsidRPr="00432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435">
        <w:rPr>
          <w:rFonts w:ascii="Times New Roman" w:hAnsi="Times New Roman" w:cs="Times New Roman"/>
          <w:sz w:val="28"/>
          <w:szCs w:val="28"/>
        </w:rPr>
        <w:t>заттай</w:t>
      </w:r>
      <w:proofErr w:type="spellEnd"/>
      <w:r w:rsidRPr="00432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435">
        <w:rPr>
          <w:rFonts w:ascii="Times New Roman" w:hAnsi="Times New Roman" w:cs="Times New Roman"/>
          <w:sz w:val="28"/>
          <w:szCs w:val="28"/>
        </w:rPr>
        <w:t>нормаларының</w:t>
      </w:r>
      <w:proofErr w:type="spellEnd"/>
      <w:r w:rsidRPr="00432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435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432435">
        <w:rPr>
          <w:rFonts w:ascii="Times New Roman" w:hAnsi="Times New Roman" w:cs="Times New Roman"/>
          <w:sz w:val="28"/>
          <w:szCs w:val="28"/>
        </w:rPr>
        <w:t>.</w:t>
      </w:r>
    </w:p>
    <w:p w:rsidR="00432435" w:rsidRPr="00574459" w:rsidRDefault="00432435" w:rsidP="00541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B19" w:rsidRPr="005C67CE" w:rsidRDefault="005C67CE" w:rsidP="005C6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proofErr w:type="spellStart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Сыбайлас</w:t>
      </w:r>
      <w:proofErr w:type="spellEnd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жемқорлық</w:t>
      </w:r>
      <w:proofErr w:type="spellEnd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тәуекелінің</w:t>
      </w:r>
      <w:proofErr w:type="spellEnd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4C11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сипаттамасы</w:t>
      </w:r>
      <w:proofErr w:type="spellEnd"/>
    </w:p>
    <w:p w:rsidR="00541B19" w:rsidRDefault="00432435" w:rsidP="0054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Сынақ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зертханасының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қызметін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</w:t>
      </w:r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талдау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жүргізу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еріктестікте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құрылыс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материалдарын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бұйымдары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мен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конструкцияларын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сынау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аспаптар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мен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жабдықтарды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тұтынудың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заттай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нормалары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жоқ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екендігі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анықталды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Бұл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бұзушылық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сынақтың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әрбір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түрін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жүргізу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қандай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жабдықты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қанша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рет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пайдаланылатынын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сондай-ақ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қорытынды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беру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қажетті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сынақтардың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санын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жабдықты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қандай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ресурстарды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майлау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материалдары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реагенттер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шығыстар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мерзімді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тексеру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нормалары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тұтынатын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ын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анықтауға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мүмкіндік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бермейді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Я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ғни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</w:t>
      </w:r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әрбір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сынақ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түрі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нің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өзіндік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құнын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және табыстылығын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анықтауға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мүмкіндік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бермегендіктен</w:t>
      </w:r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бұл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сыбайлас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жемқорлық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тәуекелі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болып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табылады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432435" w:rsidRPr="00F36FCD" w:rsidRDefault="00432435" w:rsidP="0054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</w:p>
    <w:p w:rsidR="005C67CE" w:rsidRDefault="005C67CE" w:rsidP="005C6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Тәуекелді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жою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бойынша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ұсыныс</w:t>
      </w:r>
      <w:proofErr w:type="spellEnd"/>
    </w:p>
    <w:p w:rsidR="00541B19" w:rsidRDefault="00432435" w:rsidP="004324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</w:pPr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2025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жылдың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бірінші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екінші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тоқсанында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жабдықты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оңтайлы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пайдалану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материалдарды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неғұрлым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үнемді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жұмсау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негізінде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қажет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болған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жағдайда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бөгде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мамандарды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тарта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отырып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құрылыс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материалдарын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бұйымдары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мен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конструкцияларын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сынау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аспаптар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мен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жабдықтарды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тұтынудың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заттай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нормаларын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талдау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әзірлеу</w:t>
      </w:r>
      <w:proofErr w:type="spellEnd"/>
      <w:r w:rsidRPr="0043243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r w:rsidR="00541B19" w:rsidRPr="00F36FCD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432435" w:rsidRDefault="00432435" w:rsidP="004324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432435" w:rsidRPr="00F36FCD" w:rsidRDefault="00432435" w:rsidP="004324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541B19" w:rsidRDefault="00541B19" w:rsidP="00432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2C57C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М. </w:t>
      </w:r>
      <w:proofErr w:type="spellStart"/>
      <w:r w:rsidRPr="002C57C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Ахметжанов</w:t>
      </w:r>
      <w:proofErr w:type="spellEnd"/>
    </w:p>
    <w:p w:rsidR="00541B19" w:rsidRDefault="00541B19" w:rsidP="00432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432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432435" w:rsidRDefault="00432435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41B19" w:rsidRDefault="00541B19" w:rsidP="00541B19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936C1" w:rsidRPr="003936C1" w:rsidRDefault="003936C1" w:rsidP="003936C1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936C1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proofErr w:type="spellStart"/>
      <w:r w:rsidRPr="003936C1">
        <w:rPr>
          <w:rFonts w:ascii="Times New Roman" w:hAnsi="Times New Roman" w:cs="Times New Roman"/>
          <w:sz w:val="28"/>
          <w:szCs w:val="28"/>
        </w:rPr>
        <w:t>Қазқұрылысжүйесі</w:t>
      </w:r>
      <w:proofErr w:type="spellEnd"/>
      <w:r w:rsidRPr="003936C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936C1">
        <w:rPr>
          <w:rFonts w:ascii="Times New Roman" w:hAnsi="Times New Roman" w:cs="Times New Roman"/>
          <w:sz w:val="28"/>
          <w:szCs w:val="28"/>
        </w:rPr>
        <w:t xml:space="preserve"> ЖШС</w:t>
      </w:r>
    </w:p>
    <w:p w:rsidR="00541B19" w:rsidRDefault="003936C1" w:rsidP="003936C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936C1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93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6C1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93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6C1">
        <w:rPr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 w:rsidRPr="00393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6C1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393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6C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93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6C1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393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6C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936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36C1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3936C1">
        <w:rPr>
          <w:rFonts w:ascii="Times New Roman" w:hAnsi="Times New Roman" w:cs="Times New Roman"/>
          <w:sz w:val="28"/>
          <w:szCs w:val="28"/>
        </w:rPr>
        <w:t>алдамалық</w:t>
      </w:r>
      <w:proofErr w:type="spellEnd"/>
      <w:r w:rsidRPr="00393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6C1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сына</w:t>
      </w:r>
    </w:p>
    <w:p w:rsidR="003936C1" w:rsidRPr="003936C1" w:rsidRDefault="003936C1" w:rsidP="003936C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:rsidR="00541B19" w:rsidRDefault="00541B19" w:rsidP="00541B19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541B19" w:rsidRDefault="005C67CE" w:rsidP="00541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Сыбайлас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жемқорлық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тәуекелдерін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ішкі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талдау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қорытындылары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бойынша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айқындалған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сыбайлас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жемқорлық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тәуекелдеріне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ұшыраған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лауазымдардың</w:t>
      </w:r>
      <w:proofErr w:type="spellEnd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5C67C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тізбесі</w:t>
      </w:r>
      <w:proofErr w:type="spellEnd"/>
    </w:p>
    <w:p w:rsidR="004B3B2D" w:rsidRDefault="004B3B2D" w:rsidP="00541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830"/>
        <w:gridCol w:w="3544"/>
        <w:gridCol w:w="3119"/>
      </w:tblGrid>
      <w:tr w:rsidR="00541B19" w:rsidTr="00DC6D64">
        <w:tc>
          <w:tcPr>
            <w:tcW w:w="2830" w:type="dxa"/>
          </w:tcPr>
          <w:p w:rsidR="00541B19" w:rsidRPr="00C570B7" w:rsidRDefault="005C67CE" w:rsidP="00DC6D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Сыбайлас</w:t>
            </w:r>
            <w:proofErr w:type="spellEnd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жемқорлық</w:t>
            </w:r>
            <w:proofErr w:type="spellEnd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тәуекеліне</w:t>
            </w:r>
            <w:proofErr w:type="spellEnd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ұшыраған</w:t>
            </w:r>
            <w:proofErr w:type="spellEnd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лауазым</w:t>
            </w:r>
            <w:proofErr w:type="spellEnd"/>
          </w:p>
        </w:tc>
        <w:tc>
          <w:tcPr>
            <w:tcW w:w="3544" w:type="dxa"/>
          </w:tcPr>
          <w:p w:rsidR="00541B19" w:rsidRPr="00C570B7" w:rsidRDefault="005C67CE" w:rsidP="00DC6D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Сыбайлас</w:t>
            </w:r>
            <w:proofErr w:type="spellEnd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жемқорлық</w:t>
            </w:r>
            <w:proofErr w:type="spellEnd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тәуекелдері</w:t>
            </w:r>
            <w:proofErr w:type="spellEnd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лауазымдық</w:t>
            </w:r>
            <w:proofErr w:type="spellEnd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өкілеттіктер</w:t>
            </w:r>
            <w:proofErr w:type="spellEnd"/>
          </w:p>
        </w:tc>
        <w:tc>
          <w:tcPr>
            <w:tcW w:w="3119" w:type="dxa"/>
          </w:tcPr>
          <w:p w:rsidR="00541B19" w:rsidRPr="00C570B7" w:rsidRDefault="005C67CE" w:rsidP="00DC6D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Сыбайлас</w:t>
            </w:r>
            <w:proofErr w:type="spellEnd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жемқорлық</w:t>
            </w:r>
            <w:proofErr w:type="spellEnd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тәуекелдері</w:t>
            </w:r>
            <w:proofErr w:type="spellEnd"/>
          </w:p>
        </w:tc>
      </w:tr>
      <w:tr w:rsidR="00541B19" w:rsidRPr="005C67CE" w:rsidTr="00DC6D64">
        <w:tc>
          <w:tcPr>
            <w:tcW w:w="2830" w:type="dxa"/>
          </w:tcPr>
          <w:p w:rsidR="00541B19" w:rsidRPr="0033479C" w:rsidRDefault="00541B19" w:rsidP="00DC6D64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</w:pPr>
            <w:r w:rsidRPr="0033479C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  <w:t>экономист</w:t>
            </w:r>
          </w:p>
        </w:tc>
        <w:tc>
          <w:tcPr>
            <w:tcW w:w="3544" w:type="dxa"/>
          </w:tcPr>
          <w:p w:rsidR="00541B19" w:rsidRPr="0033479C" w:rsidRDefault="005C67CE" w:rsidP="00DC6D64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</w:pPr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  <w:t>ТМҚ жоспарлау, есептен шығару</w:t>
            </w:r>
          </w:p>
        </w:tc>
        <w:tc>
          <w:tcPr>
            <w:tcW w:w="3119" w:type="dxa"/>
          </w:tcPr>
          <w:p w:rsidR="00541B19" w:rsidRPr="005C67CE" w:rsidRDefault="005C67CE" w:rsidP="00DC6D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sz w:val="28"/>
                <w:szCs w:val="28"/>
                <w:lang w:val="kk-KZ" w:eastAsia="ru-RU"/>
              </w:rPr>
            </w:pPr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ТМҚ-ны негізсіз есептен шығару немесе шамадан тыс жұмсау</w:t>
            </w:r>
          </w:p>
        </w:tc>
      </w:tr>
      <w:tr w:rsidR="00541B19" w:rsidTr="00DC6D64">
        <w:tc>
          <w:tcPr>
            <w:tcW w:w="2830" w:type="dxa"/>
          </w:tcPr>
          <w:p w:rsidR="00541B19" w:rsidRPr="005C67CE" w:rsidRDefault="00541B19" w:rsidP="00DC6D64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</w:pPr>
          </w:p>
          <w:p w:rsidR="00541B19" w:rsidRPr="0033479C" w:rsidRDefault="00541B19" w:rsidP="00DC6D64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</w:pPr>
            <w:r w:rsidRPr="0033479C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3544" w:type="dxa"/>
          </w:tcPr>
          <w:p w:rsidR="00541B19" w:rsidRPr="0033479C" w:rsidRDefault="005C67CE" w:rsidP="00DC6D64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</w:pPr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  <w:t>ТМҚ есепке алу және есептен шығару</w:t>
            </w:r>
          </w:p>
        </w:tc>
        <w:tc>
          <w:tcPr>
            <w:tcW w:w="3119" w:type="dxa"/>
          </w:tcPr>
          <w:p w:rsidR="00541B19" w:rsidRDefault="005C67CE" w:rsidP="00DC6D64">
            <w:pPr>
              <w:jc w:val="center"/>
            </w:pPr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ТМҚ-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ны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негізсіз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есептен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шығару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немесе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шамадан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тыс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жұмсау</w:t>
            </w:r>
            <w:proofErr w:type="spellEnd"/>
          </w:p>
        </w:tc>
      </w:tr>
      <w:tr w:rsidR="00541B19" w:rsidTr="00DC6D64">
        <w:tc>
          <w:tcPr>
            <w:tcW w:w="2830" w:type="dxa"/>
          </w:tcPr>
          <w:p w:rsidR="00541B19" w:rsidRPr="0033479C" w:rsidRDefault="005C67CE" w:rsidP="00DC6D64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</w:pPr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бас бухгалтер</w:t>
            </w:r>
          </w:p>
        </w:tc>
        <w:tc>
          <w:tcPr>
            <w:tcW w:w="3544" w:type="dxa"/>
          </w:tcPr>
          <w:p w:rsidR="00541B19" w:rsidRPr="0033479C" w:rsidRDefault="005C67CE" w:rsidP="00DC6D64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</w:pPr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val="kk-KZ" w:eastAsia="ru-RU"/>
              </w:rPr>
              <w:t>ТМҚ есепке алу және есептен шығару</w:t>
            </w:r>
          </w:p>
        </w:tc>
        <w:tc>
          <w:tcPr>
            <w:tcW w:w="3119" w:type="dxa"/>
          </w:tcPr>
          <w:p w:rsidR="00541B19" w:rsidRDefault="005C67CE" w:rsidP="00DC6D64">
            <w:pPr>
              <w:jc w:val="center"/>
            </w:pPr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ТМҚ-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ны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негізсіз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есептен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шығару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немесе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шамадан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тыс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жұмсау</w:t>
            </w:r>
            <w:proofErr w:type="spellEnd"/>
          </w:p>
        </w:tc>
      </w:tr>
      <w:tr w:rsidR="00541B19" w:rsidTr="00DC6D64">
        <w:tc>
          <w:tcPr>
            <w:tcW w:w="2830" w:type="dxa"/>
          </w:tcPr>
          <w:p w:rsidR="00541B19" w:rsidRPr="0033479C" w:rsidRDefault="005C67CE" w:rsidP="00DC6D64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сынақ</w:t>
            </w:r>
            <w:proofErr w:type="spellEnd"/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зертханасының</w:t>
            </w:r>
            <w:proofErr w:type="spellEnd"/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басшысы</w:t>
            </w:r>
            <w:proofErr w:type="spellEnd"/>
          </w:p>
        </w:tc>
        <w:tc>
          <w:tcPr>
            <w:tcW w:w="3544" w:type="dxa"/>
          </w:tcPr>
          <w:p w:rsidR="00541B19" w:rsidRPr="0033479C" w:rsidRDefault="005C67CE" w:rsidP="00DC6D64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сынақ</w:t>
            </w:r>
            <w:proofErr w:type="spellEnd"/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зертханасының</w:t>
            </w:r>
            <w:proofErr w:type="spellEnd"/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қызметтерін</w:t>
            </w:r>
            <w:proofErr w:type="spellEnd"/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7CE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көрсету</w:t>
            </w:r>
            <w:proofErr w:type="spellEnd"/>
          </w:p>
        </w:tc>
        <w:tc>
          <w:tcPr>
            <w:tcW w:w="3119" w:type="dxa"/>
          </w:tcPr>
          <w:p w:rsidR="00541B19" w:rsidRDefault="005C67CE" w:rsidP="005C67CE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сынақ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зертханасының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қызметтерін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шығын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анықтамай</w:t>
            </w:r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немесе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сынақ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жабдықтарына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қажетті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қызмет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көрсетусіз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пайдалану. Б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ұл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жабдықтардың</w:t>
            </w:r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ұнемі</w:t>
            </w:r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істен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шығуына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әкелуі</w:t>
            </w:r>
            <w:proofErr w:type="spellEnd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7C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мүмкін</w:t>
            </w:r>
            <w:proofErr w:type="spellEnd"/>
          </w:p>
        </w:tc>
      </w:tr>
    </w:tbl>
    <w:p w:rsidR="00541B19" w:rsidRPr="00C570B7" w:rsidRDefault="00541B19" w:rsidP="00541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C570B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</w:p>
    <w:p w:rsidR="00541B19" w:rsidRPr="002C57C7" w:rsidRDefault="00541B19" w:rsidP="00541B19">
      <w:pPr>
        <w:rPr>
          <w:rFonts w:ascii="Times New Roman" w:hAnsi="Times New Roman" w:cs="Times New Roman"/>
          <w:sz w:val="28"/>
          <w:szCs w:val="28"/>
        </w:rPr>
      </w:pPr>
    </w:p>
    <w:p w:rsidR="00541B19" w:rsidRPr="00541B19" w:rsidRDefault="00541B19" w:rsidP="00541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41B19" w:rsidRPr="0054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A49BE"/>
    <w:multiLevelType w:val="multilevel"/>
    <w:tmpl w:val="A914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A9"/>
    <w:rsid w:val="001C1E48"/>
    <w:rsid w:val="003936C1"/>
    <w:rsid w:val="00432435"/>
    <w:rsid w:val="004B3B2D"/>
    <w:rsid w:val="004C112D"/>
    <w:rsid w:val="00541B19"/>
    <w:rsid w:val="00542195"/>
    <w:rsid w:val="005C67CE"/>
    <w:rsid w:val="008C76A9"/>
    <w:rsid w:val="00A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7705"/>
  <w15:chartTrackingRefBased/>
  <w15:docId w15:val="{C89A3ED0-78FC-4369-9B74-8340DFFC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541B19"/>
  </w:style>
  <w:style w:type="paragraph" w:styleId="a3">
    <w:name w:val="List Paragraph"/>
    <w:basedOn w:val="a"/>
    <w:uiPriority w:val="34"/>
    <w:qFormat/>
    <w:rsid w:val="00541B19"/>
    <w:pPr>
      <w:ind w:left="720"/>
      <w:contextualSpacing/>
    </w:pPr>
  </w:style>
  <w:style w:type="table" w:styleId="a4">
    <w:name w:val="Table Grid"/>
    <w:basedOn w:val="a1"/>
    <w:uiPriority w:val="39"/>
    <w:rsid w:val="0054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Akhmetzhanov_MA</dc:creator>
  <cp:keywords/>
  <dc:description/>
  <cp:lastModifiedBy>Akhmetzhanov_MA</cp:lastModifiedBy>
  <cp:revision>5</cp:revision>
  <dcterms:created xsi:type="dcterms:W3CDTF">2024-11-29T07:04:00Z</dcterms:created>
  <dcterms:modified xsi:type="dcterms:W3CDTF">2024-11-29T08:00:00Z</dcterms:modified>
</cp:coreProperties>
</file>