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6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center"/>
        <w:rPr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АНАЛИТИЧЕСКАЯ СПРАВКА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beforeAutospacing="0" w:line="17" w:lineRule="atLeast"/>
        <w:ind w:right="0" w:firstLine="0" w:left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по результатам внутреннего анализа коррупционных рисков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beforeAutospacing="0" w:line="17" w:lineRule="atLeast"/>
        <w:ind w:right="0" w:firstLine="0" w:left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(далее-ВАКР)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beforeAutospacing="0" w:line="17" w:lineRule="atLeast"/>
        <w:ind w:right="0" w:firstLine="0" w:left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в деятельности службы безопасности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beforeAutospacing="0" w:line="17" w:lineRule="atLeast"/>
        <w:ind w:right="0" w:firstLine="0" w:left="0"/>
        <w:jc w:val="center"/>
        <w:rPr>
          <w:b/>
          <w:bCs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АО «Лечебно-оздоровительный комплекс «Ок-Жетпес»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beforeAutospacing="0" w:line="17" w:lineRule="atLeast"/>
        <w:ind w:right="0" w:firstLine="0" w:left="0"/>
        <w:jc w:val="center"/>
        <w:rPr>
          <w:b/>
          <w:bCs/>
          <w:sz w:val="28"/>
          <w:szCs w:val="28"/>
        </w:rPr>
      </w:pPr>
      <w:r>
        <w:rPr>
          <w:b/>
          <w:bCs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п. Бурабай                                                                             «25» июня 2026 года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66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 w:line="17" w:lineRule="atLeast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1. Основание проведения ВАКР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 w:line="17" w:lineRule="atLeast"/>
        <w:ind w:right="0" w:firstLine="708" w:left="0"/>
        <w:jc w:val="both"/>
        <w:rPr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Внутренний анализ коррупционных рисков (далее – ВАКР) в деятельности службы безопасности АО «ЛОК «Ок-Жетпес» (далее – Общество) проведен в соответствии с пунктом 5 статьи 8 Закона Республики Казахстан «О противодействии коррупции», Типовыми правилами прове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дения внутреннего анализа коррупционных рисков и Планом проведения ВАКР, утвержденным в Обществе № 12 от 26.12.2025г.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1023"/>
        <w:pBdr/>
        <w:spacing w:after="0" w:before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Основание проведения внутреннего анализа коррупционных рисков: </w:t>
      </w:r>
      <w:r>
        <w:rPr>
          <w:rFonts w:ascii="Times New Roman" w:hAnsi="Times New Roman" w:cs="Times New Roman"/>
          <w:sz w:val="28"/>
          <w:szCs w:val="28"/>
        </w:rPr>
        <w:t xml:space="preserve">Приказ и.о. президента АО «ЛОК «Ок-Жетпес» </w:t>
      </w:r>
      <w:r>
        <w:rPr>
          <w:rFonts w:ascii="Times New Roman" w:hAnsi="Times New Roman" w:cs="Times New Roman"/>
          <w:sz w:val="28"/>
          <w:szCs w:val="28"/>
        </w:rPr>
        <w:t xml:space="preserve">№167 от 08.06.2026г. (приложение №1).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708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Период проведения анализа: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 08 июня по 25 июня 2026 года.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708" w:left="0"/>
        <w:jc w:val="both"/>
        <w:rPr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Объект анализа: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деятельность службы безопасности  (далее - СБ) Общества.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1023"/>
        <w:pBdr/>
        <w:spacing w:after="0" w:before="0"/>
        <w:ind w:firstLine="708"/>
        <w:jc w:val="both"/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none"/>
        </w:rPr>
        <w:t xml:space="preserve">ВАКР</w:t>
      </w:r>
      <w:r>
        <w:rPr>
          <w:rFonts w:ascii="Times New Roman" w:hAnsi="Times New Roman" w:cs="Times New Roman"/>
          <w:sz w:val="28"/>
          <w:szCs w:val="28"/>
          <w:u w:val="none"/>
        </w:rPr>
        <w:t xml:space="preserve"> проводиться по следующим направлениям:</w:t>
      </w:r>
      <w:r>
        <w:rPr>
          <w:rFonts w:ascii="Times New Roman" w:hAnsi="Times New Roman" w:cs="Times New Roman"/>
          <w:sz w:val="28"/>
          <w:szCs w:val="28"/>
          <w:u w:val="none"/>
        </w:rPr>
      </w:r>
      <w:r>
        <w:rPr>
          <w:rFonts w:ascii="Times New Roman" w:hAnsi="Times New Roman" w:cs="Times New Roman"/>
          <w:sz w:val="28"/>
          <w:szCs w:val="28"/>
          <w:u w:val="none"/>
        </w:rPr>
      </w:r>
    </w:p>
    <w:p>
      <w:pPr>
        <w:pStyle w:val="1031"/>
        <w:numPr>
          <w:ilvl w:val="0"/>
          <w:numId w:val="26"/>
        </w:numPr>
        <w:pBdr/>
        <w:tabs>
          <w:tab w:val="clear" w:leader="none" w:pos="708"/>
          <w:tab w:val="left" w:leader="none" w:pos="993"/>
        </w:tabs>
        <w:spacing w:after="0" w:before="0"/>
        <w:ind w:firstLine="709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выявление коррупционных рисков в организационно-управленческой деятельности Общества в данном направлении;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31"/>
        <w:numPr>
          <w:ilvl w:val="0"/>
          <w:numId w:val="26"/>
        </w:numPr>
        <w:pBdr/>
        <w:tabs>
          <w:tab w:val="clear" w:leader="none" w:pos="708"/>
          <w:tab w:val="left" w:leader="none" w:pos="993"/>
        </w:tabs>
        <w:spacing w:after="0" w:before="0"/>
        <w:ind w:firstLine="709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урегулирование конфликта интересов;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31"/>
        <w:numPr>
          <w:ilvl w:val="0"/>
          <w:numId w:val="26"/>
        </w:numPr>
        <w:pBdr/>
        <w:tabs>
          <w:tab w:val="clear" w:leader="none" w:pos="708"/>
          <w:tab w:val="left" w:leader="none" w:pos="993"/>
        </w:tabs>
        <w:spacing w:after="0" w:before="0"/>
        <w:ind w:firstLine="709" w:left="0"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обеспечение эффективного функционирования системы видеонаблюдения, выявление возможных нарушений и выработка рекомендаций  по их устранению.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0" w:left="0"/>
        <w:jc w:val="both"/>
        <w:rPr>
          <w:b/>
          <w:bCs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u w:val="single"/>
        </w:rPr>
        <w:t xml:space="preserve">Рабочая группа:</w:t>
      </w:r>
      <w:r>
        <w:rPr>
          <w:b/>
          <w:bCs/>
          <w:sz w:val="28"/>
          <w:szCs w:val="28"/>
          <w:u w:val="single"/>
        </w:rPr>
      </w:r>
      <w:r>
        <w:rPr>
          <w:b/>
          <w:bCs/>
          <w:sz w:val="28"/>
          <w:szCs w:val="28"/>
          <w:u w:val="single"/>
        </w:rPr>
      </w:r>
    </w:p>
    <w:p>
      <w:pPr>
        <w:pStyle w:val="1031"/>
        <w:numPr>
          <w:ilvl w:val="0"/>
          <w:numId w:val="2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Руководитель АКС  – руководитель рабочей группы;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2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Главный экономист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член рабочей группы;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2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Заведующий автотранспортным хозяйством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член рабочей группы;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2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Менеджер по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en-US"/>
        </w:rPr>
        <w:t xml:space="preserve">HR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– член рабочей группы;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2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beforeAutospacing="0" w:line="17" w:lineRule="atLeast"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Специалист по мобилизационной подготовки и гражданской обороны – член рабочей группы.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6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beforeAutospacing="0" w:line="17" w:lineRule="atLeast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2. Источники информации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708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 проведении ВАКР изучены: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4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устав Общества;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4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организационная структура Общества;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4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положение о службе безопасности №88 от 18.03.2026г.;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4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СОП-001</w:t>
      </w:r>
      <w:r>
        <w:rPr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СБ</w:t>
      </w:r>
      <w:r>
        <w:rPr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151 от 13.07.2023г.;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4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СОП-002</w:t>
      </w:r>
      <w:r>
        <w:rPr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СБ</w:t>
      </w:r>
      <w:r>
        <w:rPr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151 от 13.07.2023г.;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4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СОП-003</w:t>
      </w:r>
      <w:r>
        <w:rPr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СБ</w:t>
      </w:r>
      <w:r>
        <w:rPr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151 от 13.07.2023г.;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4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протокол технической учебы от 02.04.2025г.;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4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должностные инструкции работников службы безопасности;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1031"/>
        <w:numPr>
          <w:ilvl w:val="0"/>
          <w:numId w:val="4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приказы по основной деятельности;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4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журналы регистрации посетителей;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4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журнал учёта учебных мероприятий</w:t>
      </w:r>
      <w:r>
        <w:rPr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антитеррористической  подготовке;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31"/>
        <w:numPr>
          <w:ilvl w:val="0"/>
          <w:numId w:val="4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план мероприятий по антитеррористической защите на 2026 год, утвержденный от 05.01.2026г.;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31"/>
        <w:numPr>
          <w:ilvl w:val="0"/>
          <w:numId w:val="4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план профилактических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и учебных мероприятий  по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антитеррористической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безопасности и ликвидации последствий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террористического акта в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АО «ЛОК «Ок-Жетпес» от 05.01.2026г.;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31"/>
        <w:numPr>
          <w:ilvl w:val="0"/>
          <w:numId w:val="4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график проведения инструктажей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антитеррористической  направленности сотрудниками АО «ЛОК «Ок-Жетпес» на 2026г. от 05.01.2026г.;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31"/>
        <w:numPr>
          <w:ilvl w:val="0"/>
          <w:numId w:val="4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график проведения занятий на практические и теоретические мероприятия по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антитеррористической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безопасности и ликвидации последствий террористического акта в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АО «ЛОК «Ок-Жетпес» на 2026г. от 05.01.2026г.;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31"/>
        <w:numPr>
          <w:ilvl w:val="0"/>
          <w:numId w:val="4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алгоритм оповещения при угрозе или возникновении террористического акта на территории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АО «ЛОК «Ок-Жетпес» от 05.01.2026г.;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31"/>
        <w:numPr>
          <w:ilvl w:val="0"/>
          <w:numId w:val="4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акт о проведении практической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тренировки с массовой эвакуацией людей от 09.04.2026г.;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31"/>
        <w:numPr>
          <w:ilvl w:val="0"/>
          <w:numId w:val="4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методические мероприятия и разработки;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31"/>
        <w:numPr>
          <w:ilvl w:val="0"/>
          <w:numId w:val="4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документы по организации пропускного режима (правила организации пропускного и внутриобъктного режимов на территории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АО «ЛОК «Ок-Жетпес» №41 от 02.02.2026г., инструкция по допуску посторонних лиц на территорию и объект, план действий сотрудников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АО «ЛОК «Ок-Жетпес» при возникновении пожара, действия дежурного персонала в ночное время; инструкция при срабатывании системы пожарной и охранной сигнализации; инструкция о порядке приема (сдачи) режимного и служебного помещений в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АО «ЛОК «Ок-Жетпес», схема маршрута патрулирования территории и т.д.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4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акт о назначении проверки и результатов проверки ГУ «Отдел полиции Бурабайского района Департамента полиции Акмолинской области»;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1031"/>
        <w:numPr>
          <w:ilvl w:val="0"/>
          <w:numId w:val="4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алгоритм первичного реагирования субъектов охранной деятельности при угрозе совершения либо совершенном акте терроризма, утвержденный КНБ РК от 2024 года;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4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обращения физических и юридических лиц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(журнал разовых пропусков имеется);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1031"/>
        <w:numPr>
          <w:ilvl w:val="0"/>
          <w:numId w:val="4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beforeAutospacing="0" w:line="17" w:lineRule="atLeast"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документы по эксплуатации систем видеонаблюдения и контроля доступа.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6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beforeAutospacing="0" w:line="17" w:lineRule="atLeast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3. Анализ нормативных и внутренних документов.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pBdr/>
        <w:spacing w:after="0" w:before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АО «ЛОК «Ок-Жетпес» осуществляет свою деятельность в соответствии с уставом, а также внутренними документами (правилами, инструкциями, регламенты, положения о структурных подразделениях и т.д.).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23"/>
        <w:pBdr/>
        <w:spacing w:after="0" w:before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анализа были изучен</w:t>
      </w:r>
      <w:r>
        <w:rPr>
          <w:rFonts w:ascii="Times New Roman" w:hAnsi="Times New Roman" w:cs="Times New Roman"/>
          <w:sz w:val="28"/>
          <w:szCs w:val="28"/>
        </w:rPr>
        <w:t xml:space="preserve">ы устав и внутренние документы, регламентирующие деятельность Общества. По результатам ВАКР коррупционных нарушений не выявлено, однако выявлены коррупционные риски дискреционных полномочий, способствующих совершению коррупционных нарушений.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708" w:left="0"/>
        <w:jc w:val="both"/>
        <w:rPr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Изучение внутренних документов показало, что деятельность СБ в целом регламентирована.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Вместе с тем, установлено: 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1023"/>
        <w:numPr>
          <w:ilvl w:val="0"/>
          <w:numId w:val="65"/>
        </w:numPr>
        <w:pBdr/>
        <w:spacing w:after="0" w:before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должностных инструкциях работников СБ обнаружены следующие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риски: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23"/>
        <w:pBdr/>
        <w:spacing w:after="0" w:before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неопределенность оснований для принятия должностными лицами решений, возможность принять несколько видов решений либо отказаться от принятия решения; отсутствие определенных сроков принятия решения;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23"/>
        <w:pBdr/>
        <w:spacing w:after="0" w:before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размывание ответственности: неясность в распределении обязанностей и полномочий способствуют возможности уклонения от ответственности;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23"/>
        <w:pBdr/>
        <w:spacing w:after="0" w:before="0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- возникновение конфликта интересов при имеющихся пересекающихся функциях.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0" w:left="0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     2) отсутствует в СБ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журнал учета происшествий и служебных расследований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. Отсутствие данного журнала не позволяет обеспечить надлежащий учёт, регистрацию, контроль и анализ происшествий, нарушений и результатов служебных расследований.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highlight w:val="none"/>
        </w:rPr>
        <w:t xml:space="preserve">Риски: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утрата информации, несвоевременного реагирования на инциденты, а также снижает прозрачность и эффективность системы внутреннего контроля.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</w:r>
    </w:p>
    <w:p>
      <w:pPr>
        <w:pStyle w:val="967"/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beforeAutospacing="0" w:line="17" w:lineRule="atLeast"/>
        <w:ind w:right="0" w:firstLine="708" w:left="0"/>
        <w:jc w:val="both"/>
        <w:rPr>
          <w:bCs w:val="0"/>
          <w:i w:val="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 w:val="0"/>
          <w:iCs w:val="0"/>
          <w:color w:val="000000"/>
          <w:sz w:val="28"/>
          <w:szCs w:val="28"/>
        </w:rPr>
        <w:t xml:space="preserve">Рекомендация: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1031"/>
        <w:numPr>
          <w:ilvl w:val="0"/>
          <w:numId w:val="6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актуализировать должностные инструкции.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0" w:left="0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  <w:lang w:val="ru-RU"/>
        </w:rPr>
        <w:t xml:space="preserve">    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  <w:lang w:val="en-US"/>
        </w:rPr>
        <w:t xml:space="preserve">2)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разработать и внедрить журнал учёта происшествий и служебных расследований с определением ответственного лица за его ведение и контроль полноты внесения сведений.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</w:r>
    </w:p>
    <w:p>
      <w:pPr>
        <w:pStyle w:val="966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beforeAutospacing="0" w:line="17" w:lineRule="atLeast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4. Анализ организационно-управленческой деятельности.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7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beforeAutospacing="0" w:line="17" w:lineRule="atLeast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4.1 Управление персоналом.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708" w:left="0"/>
        <w:jc w:val="both"/>
        <w:rPr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Проверены вопросы приема, перевода, увольнения и поощрения работников службы безопасности.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Bdr/>
        <w:spacing w:after="0" w:line="276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График работы работников СБ 4-х сменный, утвержденный от 29.05.2026г. (день, ночь, 2 выходных дня)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, у начальника СБ и старшего инспектора СБ 6-ти дневная рабочая неделя, что соответствует нормам ТК РК. В период проверки 2 работника находились в трудовом отпуске, согласно графика отпусков. Балан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 рабочего времени в месяц составляет не более 174 часов (26 дней), сверхурочные работы отсутствуют.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Коэффициент полезной эффективности (КПЭ) проводиться ежеквартально. Заработная плата работникам СБ оплачивается, согласно отработанных часов/смен в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месяц. Премия, стимулирующая надбавка к должностным окладам начисляется в размере 30% ежемесячно, с учетом вычета нахождения работника на листе временной нетрудоспособности более 10-ти дней. Дискриминация в окладах, согласно штатному расписанию отсутствует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 Текучесть кадров не наблюдается. В плане государственных закупок предусмотрена закупка на 2026 год спецодежды для работников СБ по 2 комплекта (летняя и зимняя).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Ежегодная плановая проверка от </w:t>
      </w:r>
      <w:r>
        <w:rPr>
          <w:rFonts w:ascii="Times New Roman" w:hAnsi="Times New Roman"/>
          <w:sz w:val="28"/>
          <w:szCs w:val="28"/>
          <w:lang w:val="ru-RU"/>
        </w:rPr>
        <w:t xml:space="preserve">14 мая 2026 года под руководством главного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инспектора отдела по управлению подведомственными организациями УДП</w:t>
      </w:r>
      <w:r>
        <w:rPr>
          <w:rFonts w:ascii="Times New Roman" w:hAnsi="Times New Roman"/>
          <w:sz w:val="28"/>
          <w:szCs w:val="28"/>
          <w:lang w:val="ru-RU"/>
        </w:rPr>
        <w:t xml:space="preserve">, совместно с представителями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Общества </w:t>
      </w:r>
      <w:r>
        <w:rPr>
          <w:rFonts w:ascii="Times New Roman" w:hAnsi="Times New Roman"/>
          <w:sz w:val="28"/>
          <w:szCs w:val="28"/>
          <w:lang w:val="ru-RU"/>
        </w:rPr>
        <w:t xml:space="preserve">по обследованию и камеральному контролю по эксплуатации инженерного оборудования на соответствие требованиям безопасности и охраны труда, промышленной и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пожарной безопасности, показало, что</w:t>
      </w:r>
      <w:r>
        <w:rPr>
          <w:rFonts w:ascii="Times New Roman" w:hAnsi="Times New Roman"/>
          <w:sz w:val="28"/>
          <w:szCs w:val="28"/>
          <w:lang w:val="ru-RU"/>
        </w:rPr>
        <w:t xml:space="preserve"> замечания по деятельности СБ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отсутствуют.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Bdr/>
        <w:spacing w:after="0" w:line="276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Происшествий за последние три года не имелись.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67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beforeAutospacing="0" w:line="17" w:lineRule="atLeast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4.2 Конфликт интересов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708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Установлено, что в одной смене СБ осуществляют трудовую деятельность близкие родственники братья Ф.И.О., 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Ф.И.О. Данное обстоятельство создает потенциальный риск конфликта интересов и может негативно влиять на объективность взаимного контроля при исполнении должностных обязанностей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beforeAutospacing="0" w:line="17" w:lineRule="atLeast"/>
        <w:ind w:right="0" w:firstLine="708" w:left="0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Коррупционные риски: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pStyle w:val="1031"/>
        <w:numPr>
          <w:ilvl w:val="0"/>
          <w:numId w:val="4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beforeAutospacing="0" w:line="17" w:lineRule="atLeast"/>
        <w:ind w:righ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возможность сокрытия нарушений, допущенных одним из братьев;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1031"/>
        <w:numPr>
          <w:ilvl w:val="0"/>
          <w:numId w:val="4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beforeAutospacing="0" w:line="17" w:lineRule="atLeast"/>
        <w:ind w:righ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необъективность при взаимном контроле действий;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1031"/>
        <w:numPr>
          <w:ilvl w:val="0"/>
          <w:numId w:val="4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beforeAutospacing="0" w:line="17" w:lineRule="atLeast"/>
        <w:ind w:righ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риск сговора при осуществлении пропускного режима, охраны имущества или оформлении служебных документов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1031"/>
        <w:numPr>
          <w:ilvl w:val="0"/>
          <w:numId w:val="4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beforeAutospacing="0" w:line="17" w:lineRule="atLeast"/>
        <w:ind w:righ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репутационные риски для Общества в случае выявления нарушений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67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beforeAutospacing="0" w:line="17" w:lineRule="atLeast"/>
        <w:ind w:right="0" w:firstLine="708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Рекомендация: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4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349" w:left="0"/>
        <w:jc w:val="left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рассмотреть возможность распределения работников по разным сменам либо постам, учитывая соблюдения требований Политики выявления и урегулирования конфликта интересов, утвержденное решением Совета директоров №20-1 от 20.08.2024г.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6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beforeAutospacing="0" w:line="17" w:lineRule="atLeast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5. Анализ пропускного режима и доступа посетителей.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708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Проведен анализ порядка допуска посетителей, подрядчиков и иных лиц на территорию Общества.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ходе проверки были изучены документы по организации пропускного режима: правила организации пропускного и внутриобъктного режимов на территории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АО «ЛОК «Ок-Жетпес» №41 от 02.02.2026г.; инструкция по допуску посторонних лиц на территорию и объект; план действий сотрудников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АО «ЛОК «Ок-Жетпес» при возникновении пожара, действия дежурного персонала в ночное время; инструкция при срабатывании системы пожарной и охранной сигнализации; инструкция о порядке приема (сдачи) режимного и служебного помещений в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АО «ЛОК «Ок-Жетпес»; схема маршрута патрулирования территории и т.д</w:t>
      </w:r>
      <w:r>
        <w:rPr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Все журналы имеются и регистрируются, согласно требований внутренних документов.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708" w:left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Посту №1 согласно договору по ГЗ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установлен новый шлагбаум.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708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Далее, комиссией было выявлено, что на территории находятся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посторонние лица</w:t>
      </w:r>
      <w:r>
        <w:rPr>
          <w:rFonts w:ascii="Times New Roman" w:hAnsi="Times New Roman" w:cs="Times New Roman"/>
          <w:sz w:val="28"/>
          <w:szCs w:val="28"/>
        </w:rPr>
        <w:t xml:space="preserve"> и осуществляют предпринимательскую деятельность на берегу озера в летнем шатре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В ходе выяснения установлено, что данные лица по устной договоренности осуществляют совместную деятельность с Обществом, так как договор не был предоставлен. Более того, был установлен капитального строения санузел, что является грубым нарушением законод</w:t>
      </w:r>
      <w:r>
        <w:rPr>
          <w:rFonts w:ascii="Times New Roman" w:hAnsi="Times New Roman" w:cs="Times New Roman"/>
          <w:sz w:val="28"/>
          <w:szCs w:val="28"/>
        </w:rPr>
        <w:t xml:space="preserve">ательства РК. Так как в соответствии Водному кодексу РК, минимальная водоохранная полоса составляет 35 метров и в ее пределах действует режим ограниченной хозяйственной деятельности. За данные нарушения предусмотрены штрафы и принудительный снос строений.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708"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Риски: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1031"/>
        <w:numPr>
          <w:ilvl w:val="0"/>
          <w:numId w:val="5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административные штрафы от уполномоченных органов;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31"/>
        <w:numPr>
          <w:ilvl w:val="0"/>
          <w:numId w:val="5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репутационные риски для Общества.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7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beforeAutospacing="0" w:line="283" w:lineRule="atLeast"/>
        <w:ind w:right="0" w:firstLine="708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Рекомендация: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60"/>
        </w:numPr>
        <w:suppressLineNumbers w:val="false"/>
        <w:pBdr/>
        <w:spacing w:after="0" w:afterAutospacing="0" w:line="17" w:lineRule="atLeast"/>
        <w:ind w:right="0" w:firstLine="425" w:left="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предоставить разрешительные документы на осуществления совмест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ной деятельности, а также на капитальное строение санузла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либо прекратит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ь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данную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деятельность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66"/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before="0" w:beforeAutospacing="0" w:line="17" w:lineRule="atLeast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6. Анализ системы видеонаблюдения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, территории и помещений СБ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6.1.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Проведен осмотр оборудования и проверка камер видеонаблюдения.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Установлено: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система видеонаблюдения функционирует, имеются 106 камер из них 82 - цифровые и 24 - аналоговые, 73 - внутренние, а 33 – наружные. 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оступ к архиву видеозаписей ограничен.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Сроки хранения видеозаписей соблюдаются (2 месяца).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ходе осмотра обнаружено отсутствие видеокамер в местах массового скопления и осуществлении финансовых операций.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708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Риски: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5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283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отсутствие камер видеонабледения в местах массового скопления и осуществления финансовых операций, а именно в лечебно-реабилитационном отделении на двух этажах не имеется ни одной ка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меры, в том числе обзор у кассы/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en-US"/>
        </w:rPr>
        <w:t xml:space="preserve">reception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а 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акже на пляже и пирсе у береговой линии, у кассы/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en-US"/>
        </w:rPr>
        <w:t xml:space="preserve">reception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бассейна и тренажерного зала, обзор у поста КПП №2; центральный вход санатория у беседок и производственные склады (луковый, овощной склады и плотненс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кая, а также вход со двора в материальный склад)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67"/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beforeAutospacing="0" w:line="17" w:lineRule="atLeast"/>
        <w:ind w:right="0" w:firstLine="0" w:left="36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Рекомендация: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62"/>
        </w:numPr>
        <w:suppressLineNumbers w:val="false"/>
        <w:pBdr/>
        <w:spacing w:after="0" w:afterAutospacing="0" w:line="17" w:lineRule="atLeast"/>
        <w:ind w:right="0" w:firstLine="283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рассмотреть возможность планомерного оснащения указанных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участков обзору видеонаблюдения.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line="17" w:lineRule="atLeast"/>
        <w:ind w:right="0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6.2.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В кабинете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начальника СБ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en-US"/>
        </w:rPr>
        <w:t xml:space="preserve">S=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6,7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м2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, находиться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 единиц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экранов ви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деонаблюдения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одна единица запаса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один компьютер и одна серверная установка. В данном кабинете отсутству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ет отдельная система вытяжной вентиляции, в кабинете душно.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Риски: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несоответствия условий труда требованиям охраны труда и санит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арно-гигиеническим нормам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из-за наличия данных электрооборудований в ограниченном пространстве, которые повышают температуру воздуха и ухудшают условия труда.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Рекомендация: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рассмотреть возможность о проведении 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бследования помещения специалистами по охране труда и техническими службами, а также оценить целесообразность переноса серверного оборудования в отдельное техническое помещение либо предоставления отдельного кабинета с учетом удаленной серверной установки.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6.3.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ходе осмотров постов №1 и №2 СБ установлено,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что условия пребывания работников требуют улучшения (отсутствуют шкафы для хранения верхней одежды и личных вещей работников, мебель имеет признаки износа, а состояние помещений свидетельствует о необходимости проведения текущего ремонта).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Риск: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репутационный риск для Общества, который может формировать негативное впечатление у посетителей и иных заинтересованных лиц, так как 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казанные обстоя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тельства негативно влияют на условия труда, уровень мотивации работников и удовлетворенность персонала условиями работы.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Рекомендация: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рассмотреть возможность проведения ремонта помещений, обновления мебели и оснащения необходимым инвентарем и оборудованием.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beforeAutospacing="0" w:line="283" w:lineRule="atLeast"/>
        <w:ind w:right="0" w:firstLine="0" w:left="0"/>
        <w:jc w:val="both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6.4.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 В ходе проверки территории, подлежащей охране, установлено: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31"/>
        <w:numPr>
          <w:ilvl w:val="0"/>
          <w:numId w:val="6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beforeAutospacing="0" w:line="283" w:lineRule="atLeast"/>
        <w:ind w:right="0" w:firstLine="349" w:left="0"/>
        <w:jc w:val="both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наличие захламления складских помещений и прилегающей территории различными материалами, оборудованием и иными предметами, а также отсутствием и по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вреждением ограждения отдельных участков территорий.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beforeAutospacing="0" w:line="283" w:lineRule="atLeast"/>
        <w:ind w:right="0" w:firstLine="0" w:left="0"/>
        <w:jc w:val="both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Риски: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снижает уровень физической защиты объекта и создает риск несанкционированного доступа посторонних лиц на территорию объекта. Данное обстоятельство повышает риск возникновения и распространения пожара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, повреждения или уничтожения имущества Общества. 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beforeAutospacing="0" w:line="283" w:lineRule="atLeast"/>
        <w:ind w:right="0" w:firstLine="0" w:left="0"/>
        <w:jc w:val="both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Рекомендации: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31"/>
        <w:numPr>
          <w:ilvl w:val="0"/>
          <w:numId w:val="6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beforeAutospacing="0" w:line="283" w:lineRule="atLeast"/>
        <w:ind w:right="0" w:firstLine="349" w:left="0"/>
        <w:jc w:val="both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организовать очистку складских помещений и прилегающей территории от посторонних предметов, отходов и неиспользуемого оборудования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,  а также выполнить ремонт поврежденных ворот и восстановить ограждения на поврежденн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ых участках.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yellow"/>
        </w:rPr>
      </w:r>
    </w:p>
    <w:p>
      <w:pPr>
        <w:pStyle w:val="1031"/>
        <w:numPr>
          <w:ilvl w:val="0"/>
          <w:numId w:val="6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beforeAutospacing="0" w:line="283" w:lineRule="atLeast"/>
        <w:ind w:right="0" w:firstLine="349" w:left="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у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силить контроль за состо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янием территории и обеспечением сохранности имущества Общества.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beforeAutospacing="0" w:line="283" w:lineRule="atLeast"/>
        <w:ind w:right="0" w:firstLine="708" w:left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2) на посту №1 было выявлено дерево, имеющий значительный наклон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на проезжую часть дороги. По результатам визуального осмотра установлено, что состояния данного дерева создает угрозу безопасности работников, посетителей и имущества Общества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, поскольку существует риск его падения при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неблагоприятных условиях (сильный ветер, ураган, град и.д.)</w:t>
      </w:r>
      <w:r>
        <w:rPr>
          <w:highlight w:val="none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В ходе проверки начальник СБ незамедлительно обратился в природоохранную службу для проведения обследования данного дерева. Резу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льтатом обследования был предоставлен акт от 08.06.2026г. инспекторами ГУ «ГНПП Бурабай» о том, что произведен спил опасно наклоненного сухостойного дерева (неликвид) породы сосна диаметром 24 см., объем спиленной породы составил 0,5 м3 (приложение №3).  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beforeAutospacing="0" w:line="283" w:lineRule="atLeast"/>
        <w:ind w:right="0" w:firstLine="708" w:left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3) на территории Общества установлены факты хаотичного размещения личного автотранспорта работников Общества.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beforeAutospacing="0" w:line="283" w:lineRule="atLeast"/>
        <w:ind w:right="0" w:firstLine="708" w:left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Риски: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ухудшает внешний вид санатория и может негативно влиять на обеспечение безопасности при возникновении чрезвычайных случаев, риск хищения имущества.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beforeAutospacing="0" w:line="283" w:lineRule="atLeast"/>
        <w:ind w:right="0" w:firstLine="708"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Рекомендации: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определить и утвердить места для стоянки личного автотранспорта, обязать работников хозяйственного блока размещать личный ав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тотранспорт исключительно на стоянке возле видимого поста №1, провести разъяснительную работу с работниками о порядке размещения транспорта на территории Общества, а также назначить ответственное лицо за контроль соблюдения установленного порядка парковки.</w:t>
      </w:r>
      <w:r>
        <w:rPr>
          <w:b/>
          <w:bCs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66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beforeAutospacing="0" w:line="283" w:lineRule="atLeast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7. Должности, подверженные коррупционным рискам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 результатам анализа к должностям, подверженным коррупционным рискам, отнесены: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Руководитель службы безопасности.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Старший инспектор службы безопасности.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Инспектор службы безопасности.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1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Работники, имеющие доступ к системе видеонаблюдения и архивам видеозаписей.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Основания: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1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наличие дискреционных полномочий;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1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принятие решений по допуску лиц на территорию;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1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доступ к информации ограниченного распространения;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1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beforeAutospacing="0" w:line="17" w:lineRule="atLeast"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возможность влияния на результаты служебных проверок.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6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beforeAutospacing="0" w:line="17" w:lineRule="atLeast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8. Общие выводы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 результатам внутреннего анализа коррупционных рисков установлено, что деятельность службы безопасности в целом организована в соответствии с требованиями законодательства Республики Казахстан и внутренних документов Общества.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Вместе с тем выявлены отдельные коррупционные риски, связанные с: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2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недостаточной регламентацией отдельных процедур пропускного режима;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2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отсутствием формализованных процедур урегулирования конфликта интересов;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2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недостаточный обзор видеонаблюдения в местах массового скопления людей и финансовых рисков;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2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наличием дискреционных полномочий отдельных работников.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beforeAutospacing="0" w:line="283" w:lineRule="atLeast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Указанные риски не свидетельствуют о наличии коррупционных правонарушений, однако создают условия для их возможного возникновения и требуют принятия организационных мер по их минимизации.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6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beforeAutospacing="0" w:line="283" w:lineRule="atLeast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9. Предложения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2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Утвердить План мероприятий по устранению выявленных коррупционных рисков.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2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Актуализировать внутренние нормативные документы службы безопасности.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2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Усилить контроль за соблюдением пропускного режима.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2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Внедрить процедуры предотвращения и урегулирования конфликта интересов.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2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Организовать ежегодное обучение работников службы безопасности по вопросам антикоррупционного комплаенса.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2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Провести повторный мониторинг исполнения мероприятий через 6 месяцев.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pBdr/>
        <w:spacing w:after="0" w:before="0"/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 антикоррупционного мониторинга: </w:t>
      </w:r>
      <w:r>
        <w:rPr>
          <w:rFonts w:ascii="Times New Roman" w:hAnsi="Times New Roman" w:cs="Times New Roman"/>
          <w:sz w:val="28"/>
          <w:szCs w:val="28"/>
        </w:rPr>
        <w:t xml:space="preserve">антикоррупционные нарушения не выявлены, имеются риски и рекомендации во избежание конфликта интересов.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 w:firstLine="0" w:left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Приложение: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1031"/>
        <w:numPr>
          <w:ilvl w:val="0"/>
          <w:numId w:val="7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и.о. президента АО «ЛОК «Ок-Жетпес» Иманбер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ді Қ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№167 от 08.06.2026г.- 1 лист;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7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План проведения внутреннего анализа КР от 09.06.2026г. - 2 листа;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7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Акт ГУ «ГНПП Бурабай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» от 08.06.2026г. - 1 лист.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3"/>
        <w:pBdr/>
        <w:spacing w:after="0" w:before="0"/>
        <w:ind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1023"/>
        <w:pBdr/>
        <w:spacing w:after="0" w:before="0"/>
        <w:ind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Подписи рабочей группы: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beforeAutospacing="0" w:line="17" w:lineRule="atLeast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1023"/>
        <w:pBdr/>
        <w:spacing w:after="0" w:before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23"/>
        <w:pBdr/>
        <w:spacing w:after="0" w:before="0"/>
        <w:ind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Подписи причастных: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1023"/>
        <w:pBdr/>
        <w:spacing w:after="0" w:before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23"/>
        <w:pBdr/>
        <w:spacing w:after="0" w:before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23"/>
        <w:pBdr/>
        <w:spacing w:after="0" w:before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23"/>
        <w:pBdr/>
        <w:spacing w:after="0" w:before="0"/>
        <w:ind/>
        <w:jc w:val="both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Ознакомлен: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1023"/>
        <w:pBdr/>
        <w:spacing w:after="0" w:before="0"/>
        <w:ind/>
        <w:jc w:val="both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Президент АО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 «ЛОК «Ок-Жетпес»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23"/>
        <w:pBdr/>
        <w:spacing w:after="0" w:before="0"/>
        <w:ind/>
        <w:jc w:val="both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23"/>
        <w:pBdr/>
        <w:spacing w:after="0" w:before="0"/>
        <w:ind/>
        <w:jc w:val="both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23"/>
        <w:pBdr/>
        <w:spacing w:after="0" w:before="0"/>
        <w:ind/>
        <w:jc w:val="both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23"/>
        <w:pBdr/>
        <w:spacing w:after="0" w:before="0"/>
        <w:ind/>
        <w:jc w:val="both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23"/>
        <w:pBdr/>
        <w:spacing w:after="0" w:before="0"/>
        <w:ind/>
        <w:jc w:val="both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1023"/>
        <w:pBdr/>
        <w:spacing w:after="0" w:before="0"/>
        <w:ind/>
        <w:jc w:val="right"/>
        <w:rPr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Приложение</w:t>
        <w:br/>
        <w:t xml:space="preserve">к Аналитической справке</w:t>
        <w:br/>
        <w:t xml:space="preserve">по результатам внутреннего анализа коррупционных рисков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highlight w:val="none"/>
        </w:rPr>
      </w:r>
    </w:p>
    <w:p>
      <w:pPr>
        <w:pStyle w:val="1023"/>
        <w:pBdr/>
        <w:spacing w:after="0" w:before="0"/>
        <w:ind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highlight w:val="none"/>
        </w:rPr>
      </w:r>
      <w:r>
        <w:rPr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6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line="17" w:lineRule="atLeast"/>
        <w:ind w:right="0" w:firstLine="0" w:left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Перечень должностей, подверженных коррупционным рискам</w:t>
      </w:r>
      <w:r>
        <w:rPr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pStyle w:val="965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line="17" w:lineRule="atLeast"/>
        <w:ind w:right="0" w:firstLine="0" w:left="0"/>
        <w:jc w:val="center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в службе безопасности АО «ЛОК «Ок-Жетпес»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83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98"/>
        <w:gridCol w:w="3685"/>
        <w:gridCol w:w="5402"/>
      </w:tblGrid>
      <w:tr>
        <w:trPr/>
        <w:tc>
          <w:tcPr>
            <w:tcBorders/>
            <w:tcMar>
              <w:left w:w="15" w:type="dxa"/>
              <w:top w:w="15" w:type="dxa"/>
              <w:right w:w="15" w:type="dxa"/>
              <w:bottom w:w="15" w:type="dxa"/>
            </w:tcMar>
            <w:tcW w:w="298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5" w:type="dxa"/>
              <w:top w:w="15" w:type="dxa"/>
              <w:right w:w="15" w:type="dxa"/>
              <w:bottom w:w="15" w:type="dxa"/>
            </w:tcMar>
            <w:tcW w:w="3685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Должность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5" w:type="dxa"/>
              <w:top w:w="15" w:type="dxa"/>
              <w:right w:w="15" w:type="dxa"/>
              <w:bottom w:w="15" w:type="dxa"/>
            </w:tcMar>
            <w:tcW w:w="5402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Коррупционный риск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/>
            <w:tcMar>
              <w:left w:w="15" w:type="dxa"/>
              <w:top w:w="15" w:type="dxa"/>
              <w:right w:w="15" w:type="dxa"/>
              <w:bottom w:w="15" w:type="dxa"/>
            </w:tcMar>
            <w:tcW w:w="298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5" w:type="dxa"/>
              <w:top w:w="15" w:type="dxa"/>
              <w:right w:w="15" w:type="dxa"/>
              <w:bottom w:w="15" w:type="dxa"/>
            </w:tcMar>
            <w:tcW w:w="3685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Начальник службы безопасности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5" w:type="dxa"/>
              <w:top w:w="15" w:type="dxa"/>
              <w:right w:w="15" w:type="dxa"/>
              <w:bottom w:w="15" w:type="dxa"/>
            </w:tcMar>
            <w:tcW w:w="5402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Принятие управленческих решений, распределение обязанностей, участие в служебных расследованиях, согласование доступа на объекты Общества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/>
            <w:tcMar>
              <w:left w:w="15" w:type="dxa"/>
              <w:top w:w="15" w:type="dxa"/>
              <w:right w:w="15" w:type="dxa"/>
              <w:bottom w:w="15" w:type="dxa"/>
            </w:tcMar>
            <w:tcW w:w="298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5" w:type="dxa"/>
              <w:top w:w="15" w:type="dxa"/>
              <w:right w:w="15" w:type="dxa"/>
              <w:bottom w:w="15" w:type="dxa"/>
            </w:tcMar>
            <w:tcW w:w="3685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Старший инспектор службы безопасности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5" w:type="dxa"/>
              <w:top w:w="15" w:type="dxa"/>
              <w:right w:w="15" w:type="dxa"/>
              <w:bottom w:w="15" w:type="dxa"/>
            </w:tcMar>
            <w:tcW w:w="5402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Исполнение функций начальника СБ, принятие решений в пределах предоставленных полномочий.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Контроль работы подчиненных работников, принятие решений по вопросам пропускного режима.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/>
            <w:tcMar>
              <w:left w:w="15" w:type="dxa"/>
              <w:top w:w="15" w:type="dxa"/>
              <w:right w:w="15" w:type="dxa"/>
              <w:bottom w:w="15" w:type="dxa"/>
            </w:tcMar>
            <w:tcW w:w="298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Mar>
              <w:left w:w="15" w:type="dxa"/>
              <w:top w:w="15" w:type="dxa"/>
              <w:right w:w="15" w:type="dxa"/>
              <w:bottom w:w="15" w:type="dxa"/>
            </w:tcMar>
            <w:tcW w:w="3685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Инспектор службы безопасности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5" w:type="dxa"/>
              <w:top w:w="15" w:type="dxa"/>
              <w:right w:w="15" w:type="dxa"/>
              <w:bottom w:w="15" w:type="dxa"/>
            </w:tcMar>
            <w:tcW w:w="5402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Возможность необоснованного допуска лиц на территорию Общества, сокрытие нарушений режима безопасности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/>
            <w:tcMar>
              <w:left w:w="15" w:type="dxa"/>
              <w:top w:w="15" w:type="dxa"/>
              <w:right w:w="15" w:type="dxa"/>
              <w:bottom w:w="15" w:type="dxa"/>
            </w:tcMar>
            <w:tcW w:w="298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5" w:type="dxa"/>
              <w:top w:w="15" w:type="dxa"/>
              <w:right w:w="15" w:type="dxa"/>
              <w:bottom w:w="15" w:type="dxa"/>
            </w:tcMar>
            <w:tcW w:w="3685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Работники, ответственные за пропускной режим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5" w:type="dxa"/>
              <w:top w:w="15" w:type="dxa"/>
              <w:right w:w="15" w:type="dxa"/>
              <w:bottom w:w="15" w:type="dxa"/>
            </w:tcMar>
            <w:tcW w:w="5402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Возможность предоставления необоснованных преимуществ отдельным лицам при допуске на территорию Общества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/>
            <w:tcMar>
              <w:left w:w="15" w:type="dxa"/>
              <w:top w:w="15" w:type="dxa"/>
              <w:right w:w="15" w:type="dxa"/>
              <w:bottom w:w="15" w:type="dxa"/>
            </w:tcMar>
            <w:tcW w:w="298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5" w:type="dxa"/>
              <w:top w:w="15" w:type="dxa"/>
              <w:right w:w="15" w:type="dxa"/>
              <w:bottom w:w="15" w:type="dxa"/>
            </w:tcMar>
            <w:tcW w:w="3685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Работники, участвующие в проведении служебных расследований и проверок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5" w:type="dxa"/>
              <w:top w:w="15" w:type="dxa"/>
              <w:right w:w="15" w:type="dxa"/>
              <w:bottom w:w="15" w:type="dxa"/>
            </w:tcMar>
            <w:tcW w:w="5402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Возможность влияния на результаты расследований и подготовки заключений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/>
            <w:tcMar>
              <w:left w:w="15" w:type="dxa"/>
              <w:top w:w="15" w:type="dxa"/>
              <w:right w:w="15" w:type="dxa"/>
              <w:bottom w:w="15" w:type="dxa"/>
            </w:tcMar>
            <w:tcW w:w="298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5" w:type="dxa"/>
              <w:top w:w="15" w:type="dxa"/>
              <w:right w:w="15" w:type="dxa"/>
              <w:bottom w:w="15" w:type="dxa"/>
            </w:tcMar>
            <w:tcW w:w="3685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Работники, имеющие доступ к системам контроля доступа, видеонаблюдения и архивным материалам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Mar>
              <w:left w:w="15" w:type="dxa"/>
              <w:top w:w="15" w:type="dxa"/>
              <w:right w:w="15" w:type="dxa"/>
              <w:bottom w:w="15" w:type="dxa"/>
            </w:tcMar>
            <w:tcW w:w="5402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Несанкционированное использование служебной информации, изменение данных, предоставление доступа третьим лицам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966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Основные коррупциогенные факторы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2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наличие дискреционных полномочий;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2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принятие решений в отношении физических и юридических лиц;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2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доступ к информации ограниченного распространения;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2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возможность влияния на результаты проверок и расследований;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2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контроль соблюдения пропускного режима;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1"/>
        <w:numPr>
          <w:ilvl w:val="0"/>
          <w:numId w:val="2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доступ к материальным и информационным ресурсам Общества.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6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Заключение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 результатам ВАКР указанные должности относятся к категории должностей, подверженных коррупционным рискам, и подлежат усиленному контролю со стороны руководства Общества и антикоррупционной комплаенс-службы.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h="16838" w:orient="portrait" w:w="11906"/>
      <w:pgMar w:top="1134" w:right="850" w:bottom="1134" w:left="1701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Microsoft YaHei">
    <w:panose1 w:val="020B0503020204020204"/>
  </w:font>
  <w:font w:name="Wingdings">
    <w:panose1 w:val="05000000000000000000"/>
  </w:font>
  <w:font w:name="Liberation Sans">
    <w:panose1 w:val="020B0604020202020204"/>
  </w:font>
  <w:font w:name="Segoe UI">
    <w:panose1 w:val="020B0502040204020203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lvl w:ilvl="0">
      <w:isLgl w:val="false"/>
      <w:lvlJc w:val="left"/>
      <w:lvlText w:val="%1)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)"/>
      <w:numFmt w:val="decimal"/>
      <w:pPr>
        <w:pBdr/>
        <w:tabs>
          <w:tab w:val="num" w:leader="none" w:pos="0"/>
        </w:tabs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828"/>
      </w:pPr>
      <w:rPr/>
      <w:start w:val="1"/>
      <w:suff w:val="tab"/>
    </w:lvl>
  </w:abstractNum>
  <w:abstractNum w:abstractNumId="3">
    <w:lvl w:ilvl="0">
      <w:isLgl w:val="false"/>
      <w:lvlJc w:val="left"/>
      <w:lvlText w:val="%1)"/>
      <w:numFmt w:val="decimal"/>
      <w:pPr>
        <w:pBdr/>
        <w:tabs>
          <w:tab w:val="num" w:leader="none" w:pos="0"/>
        </w:tabs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829"/>
      </w:pPr>
      <w:rPr/>
      <w:start w:val="1"/>
      <w:suff w:val="tab"/>
    </w:lvl>
  </w:abstractNum>
  <w:abstractNum w:abstractNumId="4">
    <w:lvl w:ilvl="0">
      <w:isLgl w:val="false"/>
      <w:lvlJc w:val="left"/>
      <w:lvlText w:val="%1)"/>
      <w:numFmt w:val="decimal"/>
      <w:pPr>
        <w:pBdr/>
        <w:tabs>
          <w:tab w:val="num" w:leader="none" w:pos="0"/>
        </w:tabs>
        <w:spacing/>
        <w:ind w:hanging="360" w:left="64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04"/>
      </w:pPr>
      <w:rPr/>
      <w:start w:val="1"/>
      <w:suff w:val="tab"/>
    </w:lvl>
  </w:abstractNum>
  <w:abstractNum w:abstractNumId="5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abstractNum w:abstractNumId="6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abstractNum w:abstractNumId="7">
    <w:lvl w:ilvl="0">
      <w:isLgl w:val="false"/>
      <w:lvlJc w:val="right"/>
      <w:lvlText w:val="%1."/>
      <w:numFmt w:val="decimal"/>
      <w:pPr>
        <w:pBdr/>
        <w:spacing/>
        <w:ind w:hanging="360" w:left="709"/>
      </w:pPr>
      <w:rPr>
        <w:rFonts w:ascii="Times New Roman" w:hAnsi="Times New Roman" w:eastAsia="Times New Roman" w:cs="Times New Roman"/>
        <w:color w:val="000000"/>
        <w:sz w:val="24"/>
      </w:rPr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abstractNum w:abstractNumId="8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abstractNum w:abstractNumId="9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abstractNum w:abstractNumId="10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abstractNum w:abstractNumId="11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abstractNum w:abstractNumId="12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abstractNum w:abstractNumId="13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abstractNum w:abstractNumId="14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abstractNum w:abstractNumId="15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abstractNum w:abstractNumId="16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abstractNum w:abstractNumId="17">
    <w:lvl w:ilvl="0">
      <w:isLgl w:val="false"/>
      <w:lvlJc w:val="right"/>
      <w:lvlText w:val="%1)"/>
      <w:numFmt w:val="decimal"/>
      <w:pPr>
        <w:pBdr/>
        <w:spacing/>
        <w:ind w:hanging="360" w:left="709"/>
      </w:pPr>
      <w:rPr>
        <w:rFonts w:ascii="Times New Roman" w:hAnsi="Times New Roman" w:eastAsia="Times New Roman" w:cs="Times New Roman"/>
        <w:b w:val="0"/>
        <w:color w:val="000000"/>
        <w:sz w:val="28"/>
      </w:rPr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abstractNum w:abstractNumId="18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abstractNum w:abstractNumId="19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abstractNum w:abstractNumId="20">
    <w:lvl w:ilvl="0">
      <w:isLgl w:val="false"/>
      <w:lvlJc w:val="right"/>
      <w:lvlText w:val="%1."/>
      <w:numFmt w:val="decimal"/>
      <w:pPr>
        <w:pBdr/>
        <w:spacing/>
        <w:ind w:hanging="360" w:left="709"/>
      </w:pPr>
      <w:rPr>
        <w:rFonts w:ascii="Times New Roman" w:hAnsi="Times New Roman" w:eastAsia="Times New Roman" w:cs="Times New Roman"/>
        <w:color w:val="000000"/>
        <w:sz w:val="28"/>
      </w:rPr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abstractNum w:abstractNumId="21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abstractNum w:abstractNumId="22">
    <w:lvl w:ilvl="0">
      <w:isLgl w:val="false"/>
      <w:lvlJc w:val="left"/>
      <w:lvlText w:val="%1."/>
      <w:numFmt w:val="decimal"/>
      <w:pPr>
        <w:pBdr/>
        <w:spacing/>
        <w:ind w:hanging="360" w:left="709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23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abstractNum w:abstractNumId="24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abstractNum w:abstractNumId="25">
    <w:lvl w:ilvl="0">
      <w:isLgl w:val="false"/>
      <w:lvlJc w:val="left"/>
      <w:lvlText w:val="%1)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26">
    <w:lvl w:ilvl="0">
      <w:isLgl w:val="false"/>
      <w:lvlJc w:val="left"/>
      <w:lvlText w:val="%1)"/>
      <w:numFmt w:val="decimal"/>
      <w:pPr>
        <w:pBdr/>
        <w:spacing/>
        <w:ind w:hanging="360" w:left="1418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8"/>
      </w:pPr>
      <w:rPr/>
      <w:start w:val="1"/>
      <w:suff w:val="tab"/>
    </w:lvl>
  </w:abstractNum>
  <w:abstractNum w:abstractNumId="27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abstractNum w:abstractNumId="28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abstractNum w:abstractNumId="29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abstractNum w:abstractNumId="30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abstractNum w:abstractNumId="31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abstractNum w:abstractNumId="32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abstractNum w:abstractNumId="33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abstractNum w:abstractNumId="34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abstractNum w:abstractNumId="35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abstractNum w:abstractNumId="36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abstractNum w:abstractNumId="37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abstractNum w:abstractNumId="38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abstractNum w:abstractNumId="39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abstractNum w:abstractNumId="40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abstractNum w:abstractNumId="41">
    <w:lvl w:ilvl="0">
      <w:isLgl w:val="false"/>
      <w:lvlJc w:val="left"/>
      <w:lvlText w:val="%1)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42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3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44">
    <w:lvl w:ilvl="0">
      <w:isLgl w:val="false"/>
      <w:lvlJc w:val="left"/>
      <w:lvlText w:val="%1)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abstractNum w:abstractNumId="45">
    <w:lvl w:ilvl="0">
      <w:isLgl w:val="false"/>
      <w:lvlJc w:val="left"/>
      <w:lvlText w:val="%1)"/>
      <w:numFmt w:val="decimal"/>
      <w:pPr>
        <w:pBdr/>
        <w:spacing/>
        <w:ind w:hanging="360" w:left="709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46">
    <w:lvl w:ilvl="0">
      <w:isLgl w:val="false"/>
      <w:lvlJc w:val="left"/>
      <w:lvlText w:val="%1)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abstractNum w:abstractNumId="47">
    <w:lvl w:ilvl="0">
      <w:isLgl w:val="false"/>
      <w:lvlJc w:val="left"/>
      <w:lvlText w:val="%1)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48">
    <w:lvl w:ilvl="0">
      <w:isLgl w:val="false"/>
      <w:lvlJc w:val="left"/>
      <w:lvlText w:val="%1)"/>
      <w:numFmt w:val="decimal"/>
      <w:pPr>
        <w:pBdr/>
        <w:spacing/>
        <w:ind w:hanging="360" w:left="709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49">
    <w:lvl w:ilvl="0">
      <w:isLgl w:val="false"/>
      <w:lvlJc w:val="left"/>
      <w:lvlText w:val="%1)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abstractNum w:abstractNumId="50">
    <w:lvl w:ilvl="0">
      <w:isLgl w:val="false"/>
      <w:lvlJc w:val="left"/>
      <w:lvlText w:val="%1)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51">
    <w:lvl w:ilvl="0">
      <w:isLgl w:val="false"/>
      <w:lvlJc w:val="left"/>
      <w:lvlText w:val="%1)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52">
    <w:lvl w:ilvl="0">
      <w:isLgl w:val="false"/>
      <w:lvlJc w:val="left"/>
      <w:lvlText w:val="%1)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53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abstractNum w:abstractNumId="54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abstractNum w:abstractNumId="55">
    <w:lvl w:ilvl="0">
      <w:isLgl w:val="false"/>
      <w:lvlJc w:val="left"/>
      <w:lvlText w:val="%1)"/>
      <w:numFmt w:val="decimal"/>
      <w:pPr>
        <w:pBdr/>
        <w:spacing/>
        <w:ind w:hanging="360" w:left="709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56">
    <w:lvl w:ilvl="0">
      <w:isLgl w:val="false"/>
      <w:lvlJc w:val="left"/>
      <w:lvlText w:val="%1)"/>
      <w:numFmt w:val="decimal"/>
      <w:pPr>
        <w:pBdr/>
        <w:spacing/>
        <w:ind w:hanging="360" w:left="1417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abstractNum w:abstractNumId="57">
    <w:lvl w:ilvl="0">
      <w:isLgl w:val="false"/>
      <w:lvlJc w:val="left"/>
      <w:lvlText w:val="%1)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abstractNum w:abstractNumId="58">
    <w:lvl w:ilvl="0">
      <w:isLgl w:val="false"/>
      <w:lvlJc w:val="left"/>
      <w:lvlText w:val="%1)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59">
    <w:lvl w:ilvl="0">
      <w:isLgl w:val="false"/>
      <w:lvlJc w:val="left"/>
      <w:lvlText w:val="%1)"/>
      <w:numFmt w:val="decimal"/>
      <w:pPr>
        <w:pBdr/>
        <w:spacing/>
        <w:ind w:hanging="360" w:left="709"/>
      </w:pPr>
      <w:rPr>
        <w:highlight w:val="white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60">
    <w:lvl w:ilvl="0">
      <w:isLgl w:val="false"/>
      <w:lvlJc w:val="left"/>
      <w:lvlText w:val="%1)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61">
    <w:lvl w:ilvl="0">
      <w:isLgl w:val="false"/>
      <w:lvlJc w:val="left"/>
      <w:lvlText w:val="%1)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62">
    <w:lvl w:ilvl="0">
      <w:isLgl w:val="false"/>
      <w:lvlJc w:val="left"/>
      <w:lvlText w:val="%1."/>
      <w:numFmt w:val="decimal"/>
      <w:pPr>
        <w:pBdr/>
        <w:spacing/>
        <w:ind w:hanging="360" w:left="709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63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4">
    <w:lvl w:ilvl="0">
      <w:isLgl w:val="false"/>
      <w:lvlJc w:val="left"/>
      <w:lvlText w:val="%1)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65">
    <w:lvl w:ilvl="0">
      <w:isLgl w:val="false"/>
      <w:lvlJc w:val="left"/>
      <w:lvlText w:val="%1)"/>
      <w:numFmt w:val="decimal"/>
      <w:pPr>
        <w:pBdr/>
        <w:spacing/>
        <w:ind w:hanging="360" w:left="709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66">
    <w:lvl w:ilvl="0">
      <w:isLgl w:val="false"/>
      <w:lvlJc w:val="left"/>
      <w:lvlText w:val="%1)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67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  <w:highlight w:val="whit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8">
    <w:lvl w:ilvl="0">
      <w:isLgl w:val="false"/>
      <w:lvlJc w:val="left"/>
      <w:lvlText w:val="%1)"/>
      <w:numFmt w:val="decimal"/>
      <w:pPr>
        <w:pBdr/>
        <w:spacing/>
        <w:ind w:hanging="360" w:left="709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69">
    <w:lvl w:ilvl="0">
      <w:isLgl w:val="false"/>
      <w:lvlJc w:val="left"/>
      <w:lvlText w:val="%1)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0">
    <w:lvl w:ilvl="0">
      <w:isLgl w:val="false"/>
      <w:lvlJc w:val="left"/>
      <w:lvlText w:val="%1)"/>
      <w:numFmt w:val="decimal"/>
      <w:pPr>
        <w:pBdr/>
        <w:spacing/>
        <w:ind w:hanging="360" w:left="1418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8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hyphenationZone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39">
    <w:name w:val="Table Grid"/>
    <w:basedOn w:val="1034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Table Grid Light"/>
    <w:basedOn w:val="103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Plain Table 1"/>
    <w:basedOn w:val="103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Plain Table 2"/>
    <w:basedOn w:val="103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Plain Table 3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Plain Table 4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Plain Table 5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1 Light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1 Light - Accent 1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1 Light - Accent 2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1 Light - Accent 3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1 Light - Accent 4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1 Light - Accent 5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1 Light - Accent 6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2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2 - Accent 1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2 - Accent 2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2 - Accent 3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2 - Accent 4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2 - Accent 5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2 - Accent 6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3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3 - Accent 1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3 - Accent 2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3 - Accent 3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3 - Accent 4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3 - Accent 5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3 - Accent 6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4"/>
    <w:basedOn w:val="10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4 - Accent 1"/>
    <w:basedOn w:val="10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4 - Accent 2"/>
    <w:basedOn w:val="10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4 - Accent 3"/>
    <w:basedOn w:val="10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4 - Accent 4"/>
    <w:basedOn w:val="10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4 - Accent 5"/>
    <w:basedOn w:val="10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4 - Accent 6"/>
    <w:basedOn w:val="103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5 Dark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5 Dark- Accent 1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5 Dark - Accent 2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5 Dark - Accent 3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5 Dark- Accent 4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5 Dark - Accent 5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5 Dark - Accent 6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6 Colorful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6 Colorful - Accent 1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6 Colorful - Accent 2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6 Colorful - Accent 3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6 Colorful - Accent 4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6 Colorful - Accent 5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6 Colorful - Accent 6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7 Colorful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7 Colorful - Accent 1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7 Colorful - Accent 2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7 Colorful - Accent 3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Grid Table 7 Colorful - Accent 4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7 Colorful - Accent 5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7 Colorful - Accent 6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1 Light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1 Light - Accent 1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1 Light - Accent 2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1 Light - Accent 3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1 Light - Accent 4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1 Light - Accent 5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1 Light - Accent 6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2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2 - Accent 1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2 - Accent 2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2 - Accent 3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2 - Accent 4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2 - Accent 5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2 - Accent 6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3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3 - Accent 1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3 - Accent 2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3 - Accent 3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3 - Accent 4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3 - Accent 5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3 - Accent 6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4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4 - Accent 1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4 - Accent 2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4 - Accent 3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4 - Accent 4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4 - Accent 5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4 - Accent 6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5 Dark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5 Dark - Accent 1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5 Dark - Accent 2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5 Dark - Accent 3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5 Dark - Accent 4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5 Dark - Accent 5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5 Dark - Accent 6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6 Colorful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6 Colorful - Accent 1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6 Colorful - Accent 2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6 Colorful - Accent 3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6 Colorful - Accent 4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6 Colorful - Accent 5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6 Colorful - Accent 6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7 Colorful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7 Colorful - Accent 1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7 Colorful - Accent 2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7 Colorful - Accent 3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st Table 7 Colorful - Accent 4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7 Colorful - Accent 5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7 Colorful - Accent 6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ned - Accent"/>
    <w:basedOn w:val="10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ned - Accent 1"/>
    <w:basedOn w:val="10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ned - Accent 2"/>
    <w:basedOn w:val="10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ned - Accent 3"/>
    <w:basedOn w:val="10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Lined - Accent 4"/>
    <w:basedOn w:val="10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Lined - Accent 5"/>
    <w:basedOn w:val="10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ned - Accent 6"/>
    <w:basedOn w:val="10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Bordered &amp; Lined - Accent"/>
    <w:basedOn w:val="10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Bordered &amp; Lined - Accent 1"/>
    <w:basedOn w:val="10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Bordered &amp; Lined - Accent 2"/>
    <w:basedOn w:val="10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Bordered &amp; Lined - Accent 3"/>
    <w:basedOn w:val="10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Bordered &amp; Lined - Accent 4"/>
    <w:basedOn w:val="10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Bordered &amp; Lined - Accent 5"/>
    <w:basedOn w:val="10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Bordered &amp; Lined - Accent 6"/>
    <w:basedOn w:val="103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Bordered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Bordered - Accent 1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Bordered - Accent 2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Bordered - Accent 3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Bordered - Accent 4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Bordered - Accent 5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Bordered - Accent 6"/>
    <w:basedOn w:val="103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65">
    <w:name w:val="Heading 1"/>
    <w:basedOn w:val="1023"/>
    <w:next w:val="1023"/>
    <w:link w:val="97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66">
    <w:name w:val="Heading 2"/>
    <w:basedOn w:val="1023"/>
    <w:next w:val="1023"/>
    <w:link w:val="97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67">
    <w:name w:val="Heading 3"/>
    <w:basedOn w:val="1023"/>
    <w:next w:val="1023"/>
    <w:link w:val="97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68">
    <w:name w:val="Heading 4"/>
    <w:basedOn w:val="1023"/>
    <w:next w:val="1023"/>
    <w:link w:val="97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69">
    <w:name w:val="Heading 5"/>
    <w:basedOn w:val="1023"/>
    <w:next w:val="1023"/>
    <w:link w:val="97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70">
    <w:name w:val="Heading 6"/>
    <w:basedOn w:val="1023"/>
    <w:next w:val="1023"/>
    <w:link w:val="98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71">
    <w:name w:val="Heading 7"/>
    <w:basedOn w:val="1023"/>
    <w:next w:val="1023"/>
    <w:link w:val="98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72">
    <w:name w:val="Heading 8"/>
    <w:basedOn w:val="1023"/>
    <w:next w:val="1023"/>
    <w:link w:val="98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73">
    <w:name w:val="Heading 9"/>
    <w:basedOn w:val="1023"/>
    <w:next w:val="1023"/>
    <w:link w:val="98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974" w:default="1">
    <w:name w:val="No List"/>
    <w:uiPriority w:val="99"/>
    <w:semiHidden/>
    <w:unhideWhenUsed/>
    <w:pPr>
      <w:pBdr/>
      <w:spacing/>
      <w:ind/>
    </w:pPr>
  </w:style>
  <w:style w:type="character" w:styleId="975">
    <w:name w:val="Heading 1 Char"/>
    <w:basedOn w:val="1024"/>
    <w:link w:val="96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76">
    <w:name w:val="Heading 2 Char"/>
    <w:basedOn w:val="1024"/>
    <w:link w:val="96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77">
    <w:name w:val="Heading 3 Char"/>
    <w:basedOn w:val="1024"/>
    <w:link w:val="96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78">
    <w:name w:val="Heading 4 Char"/>
    <w:basedOn w:val="1024"/>
    <w:link w:val="96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79">
    <w:name w:val="Heading 5 Char"/>
    <w:basedOn w:val="1024"/>
    <w:link w:val="96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80">
    <w:name w:val="Heading 6 Char"/>
    <w:basedOn w:val="1024"/>
    <w:link w:val="97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81">
    <w:name w:val="Heading 7 Char"/>
    <w:basedOn w:val="1024"/>
    <w:link w:val="97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82">
    <w:name w:val="Heading 8 Char"/>
    <w:basedOn w:val="1024"/>
    <w:link w:val="97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83">
    <w:name w:val="Heading 9 Char"/>
    <w:basedOn w:val="1024"/>
    <w:link w:val="97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84">
    <w:name w:val="Title"/>
    <w:basedOn w:val="1023"/>
    <w:next w:val="1023"/>
    <w:link w:val="98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85">
    <w:name w:val="Title Char"/>
    <w:basedOn w:val="1024"/>
    <w:link w:val="98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86">
    <w:name w:val="Subtitle"/>
    <w:basedOn w:val="1023"/>
    <w:next w:val="1023"/>
    <w:link w:val="98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87">
    <w:name w:val="Subtitle Char"/>
    <w:basedOn w:val="1024"/>
    <w:link w:val="98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88">
    <w:name w:val="Quote"/>
    <w:basedOn w:val="1023"/>
    <w:next w:val="1023"/>
    <w:link w:val="98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89">
    <w:name w:val="Quote Char"/>
    <w:basedOn w:val="1024"/>
    <w:link w:val="98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90">
    <w:name w:val="Intense Emphasis"/>
    <w:basedOn w:val="102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91">
    <w:name w:val="Intense Quote"/>
    <w:basedOn w:val="1023"/>
    <w:next w:val="1023"/>
    <w:link w:val="992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92">
    <w:name w:val="Intense Quote Char"/>
    <w:basedOn w:val="1024"/>
    <w:link w:val="99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93">
    <w:name w:val="Intense Reference"/>
    <w:basedOn w:val="102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94">
    <w:name w:val="No Spacing"/>
    <w:basedOn w:val="1023"/>
    <w:uiPriority w:val="1"/>
    <w:qFormat/>
    <w:pPr>
      <w:pBdr/>
      <w:spacing w:after="0" w:line="240" w:lineRule="auto"/>
      <w:ind/>
    </w:pPr>
  </w:style>
  <w:style w:type="character" w:styleId="995">
    <w:name w:val="Subtle Emphasis"/>
    <w:basedOn w:val="102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96">
    <w:name w:val="Emphasis"/>
    <w:basedOn w:val="1024"/>
    <w:uiPriority w:val="20"/>
    <w:qFormat/>
    <w:pPr>
      <w:pBdr/>
      <w:spacing/>
      <w:ind/>
    </w:pPr>
    <w:rPr>
      <w:i/>
      <w:iCs/>
    </w:rPr>
  </w:style>
  <w:style w:type="character" w:styleId="997">
    <w:name w:val="Strong"/>
    <w:basedOn w:val="1024"/>
    <w:uiPriority w:val="22"/>
    <w:qFormat/>
    <w:pPr>
      <w:pBdr/>
      <w:spacing/>
      <w:ind/>
    </w:pPr>
    <w:rPr>
      <w:b/>
      <w:bCs/>
    </w:rPr>
  </w:style>
  <w:style w:type="character" w:styleId="998">
    <w:name w:val="Subtle Reference"/>
    <w:basedOn w:val="102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99">
    <w:name w:val="Book Title"/>
    <w:basedOn w:val="102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000">
    <w:name w:val="Header"/>
    <w:basedOn w:val="1023"/>
    <w:link w:val="100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001">
    <w:name w:val="Header Char"/>
    <w:basedOn w:val="1024"/>
    <w:link w:val="1000"/>
    <w:uiPriority w:val="99"/>
    <w:pPr>
      <w:pBdr/>
      <w:spacing/>
      <w:ind/>
    </w:pPr>
  </w:style>
  <w:style w:type="paragraph" w:styleId="1002">
    <w:name w:val="Footer"/>
    <w:basedOn w:val="1023"/>
    <w:link w:val="100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003">
    <w:name w:val="Footer Char"/>
    <w:basedOn w:val="1024"/>
    <w:link w:val="1002"/>
    <w:uiPriority w:val="99"/>
    <w:pPr>
      <w:pBdr/>
      <w:spacing/>
      <w:ind/>
    </w:pPr>
  </w:style>
  <w:style w:type="paragraph" w:styleId="1004">
    <w:name w:val="footnote text"/>
    <w:basedOn w:val="1023"/>
    <w:link w:val="100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05">
    <w:name w:val="Footnote Text Char"/>
    <w:basedOn w:val="1024"/>
    <w:link w:val="1004"/>
    <w:uiPriority w:val="99"/>
    <w:semiHidden/>
    <w:pPr>
      <w:pBdr/>
      <w:spacing/>
      <w:ind/>
    </w:pPr>
    <w:rPr>
      <w:sz w:val="20"/>
      <w:szCs w:val="20"/>
    </w:rPr>
  </w:style>
  <w:style w:type="character" w:styleId="1006">
    <w:name w:val="footnote reference"/>
    <w:basedOn w:val="1024"/>
    <w:uiPriority w:val="99"/>
    <w:semiHidden/>
    <w:unhideWhenUsed/>
    <w:pPr>
      <w:pBdr/>
      <w:spacing/>
      <w:ind/>
    </w:pPr>
    <w:rPr>
      <w:vertAlign w:val="superscript"/>
    </w:rPr>
  </w:style>
  <w:style w:type="paragraph" w:styleId="1007">
    <w:name w:val="endnote text"/>
    <w:basedOn w:val="1023"/>
    <w:link w:val="100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08">
    <w:name w:val="Endnote Text Char"/>
    <w:basedOn w:val="1024"/>
    <w:link w:val="1007"/>
    <w:uiPriority w:val="99"/>
    <w:semiHidden/>
    <w:pPr>
      <w:pBdr/>
      <w:spacing/>
      <w:ind/>
    </w:pPr>
    <w:rPr>
      <w:sz w:val="20"/>
      <w:szCs w:val="20"/>
    </w:rPr>
  </w:style>
  <w:style w:type="character" w:styleId="1009">
    <w:name w:val="endnote reference"/>
    <w:basedOn w:val="1024"/>
    <w:uiPriority w:val="99"/>
    <w:semiHidden/>
    <w:unhideWhenUsed/>
    <w:pPr>
      <w:pBdr/>
      <w:spacing/>
      <w:ind/>
    </w:pPr>
    <w:rPr>
      <w:vertAlign w:val="superscript"/>
    </w:rPr>
  </w:style>
  <w:style w:type="character" w:styleId="1010">
    <w:name w:val="Hyperlink"/>
    <w:basedOn w:val="102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011">
    <w:name w:val="FollowedHyperlink"/>
    <w:basedOn w:val="102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012">
    <w:name w:val="toc 1"/>
    <w:basedOn w:val="1023"/>
    <w:next w:val="1023"/>
    <w:uiPriority w:val="39"/>
    <w:unhideWhenUsed/>
    <w:pPr>
      <w:pBdr/>
      <w:spacing w:after="100"/>
      <w:ind/>
    </w:pPr>
  </w:style>
  <w:style w:type="paragraph" w:styleId="1013">
    <w:name w:val="toc 2"/>
    <w:basedOn w:val="1023"/>
    <w:next w:val="1023"/>
    <w:uiPriority w:val="39"/>
    <w:unhideWhenUsed/>
    <w:pPr>
      <w:pBdr/>
      <w:spacing w:after="100"/>
      <w:ind w:left="220"/>
    </w:pPr>
  </w:style>
  <w:style w:type="paragraph" w:styleId="1014">
    <w:name w:val="toc 3"/>
    <w:basedOn w:val="1023"/>
    <w:next w:val="1023"/>
    <w:uiPriority w:val="39"/>
    <w:unhideWhenUsed/>
    <w:pPr>
      <w:pBdr/>
      <w:spacing w:after="100"/>
      <w:ind w:left="440"/>
    </w:pPr>
  </w:style>
  <w:style w:type="paragraph" w:styleId="1015">
    <w:name w:val="toc 4"/>
    <w:basedOn w:val="1023"/>
    <w:next w:val="1023"/>
    <w:uiPriority w:val="39"/>
    <w:unhideWhenUsed/>
    <w:pPr>
      <w:pBdr/>
      <w:spacing w:after="100"/>
      <w:ind w:left="660"/>
    </w:pPr>
  </w:style>
  <w:style w:type="paragraph" w:styleId="1016">
    <w:name w:val="toc 5"/>
    <w:basedOn w:val="1023"/>
    <w:next w:val="1023"/>
    <w:uiPriority w:val="39"/>
    <w:unhideWhenUsed/>
    <w:pPr>
      <w:pBdr/>
      <w:spacing w:after="100"/>
      <w:ind w:left="880"/>
    </w:pPr>
  </w:style>
  <w:style w:type="paragraph" w:styleId="1017">
    <w:name w:val="toc 6"/>
    <w:basedOn w:val="1023"/>
    <w:next w:val="1023"/>
    <w:uiPriority w:val="39"/>
    <w:unhideWhenUsed/>
    <w:pPr>
      <w:pBdr/>
      <w:spacing w:after="100"/>
      <w:ind w:left="1100"/>
    </w:pPr>
  </w:style>
  <w:style w:type="paragraph" w:styleId="1018">
    <w:name w:val="toc 7"/>
    <w:basedOn w:val="1023"/>
    <w:next w:val="1023"/>
    <w:uiPriority w:val="39"/>
    <w:unhideWhenUsed/>
    <w:pPr>
      <w:pBdr/>
      <w:spacing w:after="100"/>
      <w:ind w:left="1320"/>
    </w:pPr>
  </w:style>
  <w:style w:type="paragraph" w:styleId="1019">
    <w:name w:val="toc 8"/>
    <w:basedOn w:val="1023"/>
    <w:next w:val="1023"/>
    <w:uiPriority w:val="39"/>
    <w:unhideWhenUsed/>
    <w:pPr>
      <w:pBdr/>
      <w:spacing w:after="100"/>
      <w:ind w:left="1540"/>
    </w:pPr>
  </w:style>
  <w:style w:type="paragraph" w:styleId="1020">
    <w:name w:val="toc 9"/>
    <w:basedOn w:val="1023"/>
    <w:next w:val="1023"/>
    <w:uiPriority w:val="39"/>
    <w:unhideWhenUsed/>
    <w:pPr>
      <w:pBdr/>
      <w:spacing w:after="100"/>
      <w:ind w:left="1760"/>
    </w:pPr>
  </w:style>
  <w:style w:type="paragraph" w:styleId="1021">
    <w:name w:val="TOC Heading"/>
    <w:uiPriority w:val="39"/>
    <w:unhideWhenUsed/>
    <w:pPr>
      <w:pBdr/>
      <w:spacing/>
      <w:ind/>
    </w:pPr>
  </w:style>
  <w:style w:type="paragraph" w:styleId="1022">
    <w:name w:val="table of figures"/>
    <w:basedOn w:val="1023"/>
    <w:next w:val="1023"/>
    <w:uiPriority w:val="99"/>
    <w:unhideWhenUsed/>
    <w:pPr>
      <w:pBdr/>
      <w:spacing w:after="0" w:afterAutospacing="0"/>
      <w:ind/>
    </w:pPr>
  </w:style>
  <w:style w:type="paragraph" w:styleId="1023" w:default="1">
    <w:name w:val="Normal"/>
    <w:qFormat/>
    <w:pPr>
      <w:widowControl w:val="true"/>
      <w:pBdr/>
      <w:bidi w:val="false"/>
      <w:spacing w:after="160" w:before="0" w:line="259" w:lineRule="auto"/>
      <w:ind/>
      <w:jc w:val="left"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character" w:styleId="1024" w:default="1">
    <w:name w:val="Default Paragraph Font"/>
    <w:uiPriority w:val="1"/>
    <w:unhideWhenUsed/>
    <w:qFormat/>
    <w:pPr>
      <w:pBdr/>
      <w:spacing/>
      <w:ind/>
    </w:pPr>
  </w:style>
  <w:style w:type="character" w:styleId="1025" w:customStyle="1">
    <w:name w:val="Текст выноски Знак"/>
    <w:basedOn w:val="1024"/>
    <w:link w:val="1032"/>
    <w:uiPriority w:val="99"/>
    <w:semiHidden/>
    <w:qFormat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1026">
    <w:name w:val="Заголовок"/>
    <w:basedOn w:val="1023"/>
    <w:next w:val="1027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1027">
    <w:name w:val="Body Text"/>
    <w:basedOn w:val="1023"/>
    <w:pPr>
      <w:pBdr/>
      <w:spacing w:after="140" w:before="0" w:line="276" w:lineRule="auto"/>
      <w:ind/>
    </w:pPr>
  </w:style>
  <w:style w:type="paragraph" w:styleId="1028">
    <w:name w:val="List"/>
    <w:basedOn w:val="1027"/>
    <w:pPr>
      <w:pBdr/>
      <w:spacing/>
      <w:ind/>
    </w:pPr>
    <w:rPr>
      <w:rFonts w:cs="Arial"/>
    </w:rPr>
  </w:style>
  <w:style w:type="paragraph" w:styleId="1029">
    <w:name w:val="Caption"/>
    <w:basedOn w:val="1023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1030">
    <w:name w:val="Указатель"/>
    <w:basedOn w:val="1023"/>
    <w:qFormat/>
    <w:pPr>
      <w:suppressLineNumbers w:val="true"/>
      <w:pBdr/>
      <w:spacing/>
      <w:ind/>
    </w:pPr>
    <w:rPr>
      <w:rFonts w:cs="Arial"/>
    </w:rPr>
  </w:style>
  <w:style w:type="paragraph" w:styleId="1031">
    <w:name w:val="List Paragraph"/>
    <w:basedOn w:val="1023"/>
    <w:uiPriority w:val="34"/>
    <w:qFormat/>
    <w:pPr>
      <w:pBdr/>
      <w:spacing w:after="160" w:before="0"/>
      <w:ind w:left="720"/>
      <w:contextualSpacing w:val="true"/>
    </w:pPr>
  </w:style>
  <w:style w:type="paragraph" w:styleId="1032">
    <w:name w:val="Balloon Text"/>
    <w:basedOn w:val="1023"/>
    <w:link w:val="1025"/>
    <w:uiPriority w:val="99"/>
    <w:semiHidden/>
    <w:unhideWhenUsed/>
    <w:qFormat/>
    <w:pPr>
      <w:pBdr/>
      <w:spacing w:after="0" w:before="0" w:line="240" w:lineRule="auto"/>
      <w:ind/>
    </w:pPr>
    <w:rPr>
      <w:rFonts w:ascii="Segoe UI" w:hAnsi="Segoe UI" w:cs="Segoe UI"/>
      <w:sz w:val="18"/>
      <w:szCs w:val="18"/>
    </w:rPr>
  </w:style>
  <w:style w:type="numbering" w:styleId="1033">
    <w:name w:val="Без списка"/>
    <w:uiPriority w:val="99"/>
    <w:semiHidden/>
    <w:unhideWhenUsed/>
    <w:qFormat/>
    <w:pPr>
      <w:pBdr/>
      <w:spacing/>
      <w:ind/>
    </w:pPr>
  </w:style>
  <w:style w:type="table" w:styleId="1034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60888-DBC2-4C7F-8F03-F7E46A187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ONLYOFFICE/8.3.3.21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</dc:creator>
  <dc:description/>
  <dc:language>ru-RU</dc:language>
  <cp:revision>43</cp:revision>
  <dcterms:created xsi:type="dcterms:W3CDTF">2024-09-06T05:44:00Z</dcterms:created>
  <dcterms:modified xsi:type="dcterms:W3CDTF">2026-06-29T09:41:12Z</dcterms:modified>
</cp:coreProperties>
</file>